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600710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31"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5"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2398395</wp:posOffset>
            </wp:positionH>
            <wp:positionV relativeFrom="paragraph">
              <wp:posOffset>68580</wp:posOffset>
            </wp:positionV>
            <wp:extent cx="23850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16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2398395</wp:posOffset>
            </wp:positionH>
            <wp:positionV relativeFrom="paragraph">
              <wp:posOffset>86995</wp:posOffset>
            </wp:positionV>
            <wp:extent cx="23850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5060" cy="6985"/>
                    </a:xfrm>
                    <a:prstGeom prst="rect">
                      <a:avLst/>
                    </a:prstGeom>
                    <a:noFill/>
                  </pic:spPr>
                </pic:pic>
              </a:graphicData>
            </a:graphic>
          </wp:anchor>
        </w:drawing>
      </w:r>
    </w:p>
    <w:p>
      <w:pPr>
        <w:spacing w:after="0" w:line="208" w:lineRule="exact"/>
        <w:rPr>
          <w:sz w:val="24"/>
          <w:szCs w:val="24"/>
          <w:color w:val="auto"/>
        </w:rPr>
      </w:pPr>
    </w:p>
    <w:p>
      <w:pPr>
        <w:ind w:left="6"/>
        <w:spacing w:after="0"/>
        <w:rPr>
          <w:sz w:val="20"/>
          <w:szCs w:val="20"/>
          <w:color w:val="auto"/>
        </w:rPr>
      </w:pPr>
      <w:r>
        <w:rPr>
          <w:rFonts w:ascii="Times New Roman" w:cs="Times New Roman" w:eastAsia="Times New Roman" w:hAnsi="Times New Roman"/>
          <w:sz w:val="14"/>
          <w:szCs w:val="14"/>
          <w:color w:val="auto"/>
        </w:rPr>
        <w:t>(Mark One)</w:t>
      </w:r>
    </w:p>
    <w:p>
      <w:pPr>
        <w:spacing w:after="0" w:line="147" w:lineRule="exact"/>
        <w:rPr>
          <w:sz w:val="24"/>
          <w:szCs w:val="24"/>
          <w:color w:val="auto"/>
        </w:rPr>
      </w:pPr>
    </w:p>
    <w:p>
      <w:pPr>
        <w:ind w:left="466" w:hanging="441"/>
        <w:spacing w:after="0"/>
        <w:tabs>
          <w:tab w:leader="none" w:pos="46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72"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55" w:lineRule="exact"/>
        <w:rPr>
          <w:sz w:val="24"/>
          <w:szCs w:val="24"/>
          <w:color w:val="auto"/>
        </w:rPr>
      </w:pPr>
    </w:p>
    <w:p>
      <w:pPr>
        <w:ind w:left="466" w:hanging="466"/>
        <w:spacing w:after="0"/>
        <w:tabs>
          <w:tab w:leader="none" w:pos="466"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Commission File Number: 001-32630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1751965</wp:posOffset>
            </wp:positionH>
            <wp:positionV relativeFrom="paragraph">
              <wp:posOffset>76835</wp:posOffset>
            </wp:positionV>
            <wp:extent cx="36652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5220" cy="698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151130</wp:posOffset>
            </wp:positionV>
            <wp:extent cx="1347470" cy="559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7470" cy="559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tbl>
      <w:tblPr>
        <w:tblLayout w:type="fixed"/>
        <w:tblInd w:w="1046"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7"/>
                <w:szCs w:val="17"/>
                <w:b w:val="1"/>
                <w:bCs w:val="1"/>
                <w:color w:val="auto"/>
                <w:w w:val="99"/>
              </w:rPr>
              <w:t>FIDELITY NATIONAL FINANCIAL, INC.</w:t>
            </w: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194"/>
        </w:trPr>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96"/>
        </w:trPr>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79"/>
        </w:trPr>
        <w:tc>
          <w:tcPr>
            <w:tcW w:w="480" w:type="dxa"/>
            <w:vAlign w:val="bottom"/>
          </w:tcPr>
          <w:p>
            <w:pPr>
              <w:spacing w:after="0"/>
              <w:rPr>
                <w:sz w:val="24"/>
                <w:szCs w:val="24"/>
                <w:color w:val="auto"/>
              </w:rPr>
            </w:pPr>
          </w:p>
        </w:tc>
        <w:tc>
          <w:tcPr>
            <w:tcW w:w="194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60" w:type="dxa"/>
            <w:vAlign w:val="bottom"/>
            <w:gridSpan w:val="4"/>
          </w:tcPr>
          <w:p>
            <w:pPr>
              <w:jc w:val="center"/>
              <w:ind w:left="1716"/>
              <w:spacing w:after="0"/>
              <w:rPr>
                <w:sz w:val="20"/>
                <w:szCs w:val="20"/>
                <w:color w:val="auto"/>
              </w:rPr>
            </w:pPr>
            <w:r>
              <w:rPr>
                <w:rFonts w:ascii="Times New Roman" w:cs="Times New Roman" w:eastAsia="Times New Roman" w:hAnsi="Times New Roman"/>
                <w:sz w:val="14"/>
                <w:szCs w:val="14"/>
                <w:b w:val="1"/>
                <w:bCs w:val="1"/>
                <w:color w:val="auto"/>
              </w:rPr>
              <w:t>16-1725106</w:t>
            </w:r>
          </w:p>
        </w:tc>
      </w:tr>
      <w:tr>
        <w:trPr>
          <w:trHeight w:val="117"/>
        </w:trPr>
        <w:tc>
          <w:tcPr>
            <w:tcW w:w="2420" w:type="dxa"/>
            <w:vAlign w:val="bottom"/>
            <w:gridSpan w:val="4"/>
          </w:tcPr>
          <w:p>
            <w:pPr>
              <w:jc w:val="center"/>
              <w:ind w:right="960"/>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40" w:type="dxa"/>
            <w:vAlign w:val="bottom"/>
            <w:gridSpan w:val="2"/>
          </w:tcPr>
          <w:p>
            <w:pPr>
              <w:jc w:val="center"/>
              <w:ind w:left="483"/>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420" w:type="dxa"/>
            <w:vAlign w:val="bottom"/>
            <w:gridSpan w:val="4"/>
          </w:tcPr>
          <w:p>
            <w:pPr>
              <w:jc w:val="center"/>
              <w:ind w:right="96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40" w:type="dxa"/>
            <w:vAlign w:val="bottom"/>
            <w:gridSpan w:val="2"/>
          </w:tcPr>
          <w:p>
            <w:pPr>
              <w:jc w:val="center"/>
              <w:ind w:left="50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36"/>
        </w:trPr>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601 Riverside Avenue</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167"/>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Jacksonville, Florida, 32204</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49"/>
        </w:trPr>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369"/>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(904) 854-8100</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72"/>
        </w:trPr>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329"/>
        </w:trPr>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3"/>
          </w:tcPr>
          <w:p>
            <w:pPr>
              <w:jc w:val="center"/>
              <w:ind w:left="455"/>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6"/>
        </w:trPr>
        <w:tc>
          <w:tcPr>
            <w:tcW w:w="480" w:type="dxa"/>
            <w:vAlign w:val="bottom"/>
          </w:tcPr>
          <w:p>
            <w:pPr>
              <w:spacing w:after="0"/>
              <w:rPr>
                <w:sz w:val="11"/>
                <w:szCs w:val="11"/>
                <w:color w:val="auto"/>
              </w:rPr>
            </w:pPr>
          </w:p>
        </w:tc>
        <w:tc>
          <w:tcPr>
            <w:tcW w:w="1940" w:type="dxa"/>
            <w:vAlign w:val="bottom"/>
            <w:gridSpan w:val="3"/>
          </w:tcPr>
          <w:p>
            <w:pPr>
              <w:jc w:val="center"/>
              <w:ind w:right="10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3840" w:type="dxa"/>
            <w:vAlign w:val="bottom"/>
            <w:gridSpan w:val="3"/>
          </w:tcPr>
          <w:p>
            <w:pPr>
              <w:jc w:val="center"/>
              <w:ind w:right="110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66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63"/>
        </w:trPr>
        <w:tc>
          <w:tcPr>
            <w:tcW w:w="2420" w:type="dxa"/>
            <w:vAlign w:val="bottom"/>
            <w:gridSpan w:val="4"/>
          </w:tcPr>
          <w:p>
            <w:pPr>
              <w:jc w:val="center"/>
              <w:ind w:right="560"/>
              <w:spacing w:after="0"/>
              <w:rPr>
                <w:sz w:val="20"/>
                <w:szCs w:val="20"/>
                <w:color w:val="auto"/>
              </w:rPr>
            </w:pPr>
            <w:r>
              <w:rPr>
                <w:rFonts w:ascii="Times New Roman" w:cs="Times New Roman" w:eastAsia="Times New Roman" w:hAnsi="Times New Roman"/>
                <w:sz w:val="11"/>
                <w:szCs w:val="11"/>
                <w:color w:val="auto"/>
              </w:rPr>
              <w:t>FNF Common Stock, $0.0001 par value</w:t>
            </w:r>
          </w:p>
        </w:tc>
        <w:tc>
          <w:tcPr>
            <w:tcW w:w="980" w:type="dxa"/>
            <w:vAlign w:val="bottom"/>
          </w:tcPr>
          <w:p>
            <w:pPr>
              <w:spacing w:after="0"/>
              <w:rPr>
                <w:sz w:val="14"/>
                <w:szCs w:val="14"/>
                <w:color w:val="auto"/>
              </w:rPr>
            </w:pPr>
          </w:p>
        </w:tc>
        <w:tc>
          <w:tcPr>
            <w:tcW w:w="2860" w:type="dxa"/>
            <w:vAlign w:val="bottom"/>
            <w:gridSpan w:val="2"/>
          </w:tcPr>
          <w:p>
            <w:pPr>
              <w:jc w:val="center"/>
              <w:ind w:right="2100"/>
              <w:spacing w:after="0"/>
              <w:rPr>
                <w:sz w:val="20"/>
                <w:szCs w:val="20"/>
                <w:color w:val="auto"/>
              </w:rPr>
            </w:pPr>
            <w:r>
              <w:rPr>
                <w:rFonts w:ascii="Times New Roman" w:cs="Times New Roman" w:eastAsia="Times New Roman" w:hAnsi="Times New Roman"/>
                <w:sz w:val="11"/>
                <w:szCs w:val="11"/>
                <w:color w:val="auto"/>
                <w:w w:val="98"/>
              </w:rPr>
              <w:t>FNF</w:t>
            </w:r>
          </w:p>
        </w:tc>
        <w:tc>
          <w:tcPr>
            <w:tcW w:w="60" w:type="dxa"/>
            <w:vAlign w:val="bottom"/>
          </w:tcPr>
          <w:p>
            <w:pPr>
              <w:spacing w:after="0"/>
              <w:rPr>
                <w:sz w:val="14"/>
                <w:szCs w:val="14"/>
                <w:color w:val="auto"/>
              </w:rPr>
            </w:pPr>
          </w:p>
        </w:tc>
        <w:tc>
          <w:tcPr>
            <w:tcW w:w="260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1751965</wp:posOffset>
            </wp:positionH>
            <wp:positionV relativeFrom="paragraph">
              <wp:posOffset>79375</wp:posOffset>
            </wp:positionV>
            <wp:extent cx="36652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5220" cy="6985"/>
                    </a:xfrm>
                    <a:prstGeom prst="rect">
                      <a:avLst/>
                    </a:prstGeom>
                    <a:noFill/>
                  </pic:spPr>
                </pic:pic>
              </a:graphicData>
            </a:graphic>
          </wp:anchor>
        </w:drawing>
      </w:r>
    </w:p>
    <w:p>
      <w:pPr>
        <w:spacing w:after="0" w:line="205" w:lineRule="exact"/>
        <w:rPr>
          <w:sz w:val="24"/>
          <w:szCs w:val="24"/>
          <w:color w:val="auto"/>
        </w:rPr>
      </w:pPr>
    </w:p>
    <w:p>
      <w:pPr>
        <w:ind w:left="6"/>
        <w:spacing w:after="0"/>
        <w:rPr>
          <w:sz w:val="20"/>
          <w:szCs w:val="20"/>
          <w:color w:val="auto"/>
        </w:rPr>
      </w:pPr>
      <w:r>
        <w:rPr>
          <w:rFonts w:ascii="Times New Roman" w:cs="Times New Roman" w:eastAsia="Times New Roman" w:hAnsi="Times New Roman"/>
          <w:sz w:val="11"/>
          <w:szCs w:val="11"/>
          <w:color w:val="auto"/>
        </w:rPr>
        <w:t>Securities registered pursuant to Section 12(g) of the Act: None</w:t>
      </w:r>
    </w:p>
    <w:p>
      <w:pPr>
        <w:spacing w:after="0" w:line="20" w:lineRule="exact"/>
        <w:rPr>
          <w:sz w:val="24"/>
          <w:szCs w:val="24"/>
          <w:color w:val="auto"/>
        </w:rPr>
      </w:pPr>
    </w:p>
    <w:p>
      <w:pPr>
        <w:ind w:left="6" w:right="5140"/>
        <w:spacing w:after="0" w:line="224"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left="6"/>
        <w:spacing w:after="0" w:line="19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or No </w:t>
      </w:r>
      <w:r>
        <w:rPr>
          <w:rFonts w:ascii="MS PGothic" w:cs="MS PGothic" w:eastAsia="MS PGothic" w:hAnsi="MS PGothic"/>
          <w:sz w:val="16"/>
          <w:szCs w:val="16"/>
          <w:color w:val="auto"/>
        </w:rPr>
        <w:t>☐</w:t>
      </w:r>
    </w:p>
    <w:p>
      <w:pPr>
        <w:spacing w:after="0" w:line="18" w:lineRule="exact"/>
        <w:rPr>
          <w:sz w:val="24"/>
          <w:szCs w:val="24"/>
          <w:color w:val="auto"/>
        </w:rPr>
      </w:pPr>
    </w:p>
    <w:p>
      <w:pPr>
        <w:ind w:left="6"/>
        <w:spacing w:after="0" w:line="204" w:lineRule="exact"/>
        <w:rPr>
          <w:sz w:val="20"/>
          <w:szCs w:val="20"/>
          <w:color w:val="auto"/>
        </w:rPr>
      </w:pPr>
      <w:r>
        <w:rPr>
          <w:rFonts w:ascii="Times New Roman" w:cs="Times New Roman" w:eastAsia="Times New Roman" w:hAnsi="Times New Roman"/>
          <w:sz w:val="11"/>
          <w:szCs w:val="11"/>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 xml:space="preserve">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or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6"/>
          </w:cols>
          <w:pgMar w:left="294" w:top="1043" w:right="319" w:bottom="1440" w:gutter="0" w:footer="0" w:header="0"/>
        </w:sectPr>
      </w:pPr>
    </w:p>
    <w:bookmarkStart w:id="1" w:name="page2"/>
    <w:bookmarkEnd w:id="1"/>
    <w:p>
      <w:pPr>
        <w:spacing w:after="0" w:line="280"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7" w:right="319" w:bottom="1440" w:gutter="0" w:footer="0" w:header="0"/>
        </w:sectPr>
      </w:pPr>
    </w:p>
    <w:p>
      <w:pPr>
        <w:spacing w:after="0" w:line="27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Large Accelerated Filer</w:t>
      </w:r>
    </w:p>
    <w:p>
      <w:pPr>
        <w:spacing w:after="0" w:line="1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1"/>
          <w:szCs w:val="11"/>
          <w:color w:val="auto"/>
        </w:rPr>
        <w:t>Non-accelerated Filer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6"/>
        </w:trPr>
        <w:tc>
          <w:tcPr>
            <w:tcW w:w="5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Accelerated Filer</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500" w:type="dxa"/>
            <w:vAlign w:val="bottom"/>
          </w:tcPr>
          <w:p>
            <w:pPr>
              <w:ind w:left="40"/>
              <w:spacing w:after="0" w:line="171" w:lineRule="exact"/>
              <w:rPr>
                <w:sz w:val="20"/>
                <w:szCs w:val="20"/>
                <w:color w:val="auto"/>
              </w:rPr>
            </w:pPr>
            <w:r>
              <w:rPr>
                <w:rFonts w:ascii="MS PGothic" w:cs="MS PGothic" w:eastAsia="MS PGothic" w:hAnsi="MS PGothic"/>
                <w:sz w:val="17"/>
                <w:szCs w:val="17"/>
                <w:color w:val="auto"/>
              </w:rPr>
              <w:t>☐</w:t>
            </w: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500" w:type="dxa"/>
            <w:vAlign w:val="bottom"/>
          </w:tcPr>
          <w:p>
            <w:pPr>
              <w:spacing w:after="0"/>
              <w:rPr>
                <w:sz w:val="24"/>
                <w:szCs w:val="24"/>
                <w:color w:val="auto"/>
              </w:rPr>
            </w:pPr>
          </w:p>
        </w:tc>
        <w:tc>
          <w:tcPr>
            <w:tcW w:w="27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Emerging growth company</w:t>
            </w:r>
          </w:p>
        </w:tc>
        <w:tc>
          <w:tcPr>
            <w:tcW w:w="1300" w:type="dxa"/>
            <w:vAlign w:val="bottom"/>
          </w:tcPr>
          <w:p>
            <w:pPr>
              <w:ind w:left="1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53" w:lineRule="exact"/>
        <w:rPr>
          <w:sz w:val="20"/>
          <w:szCs w:val="20"/>
          <w:color w:val="auto"/>
        </w:rPr>
      </w:pPr>
    </w:p>
    <w:p>
      <w:pPr>
        <w:sectPr>
          <w:pgSz w:w="11900" w:h="16838" w:orient="portrait"/>
          <w:cols w:equalWidth="0" w:num="2">
            <w:col w:w="4120" w:space="720"/>
            <w:col w:w="6440"/>
          </w:cols>
          <w:pgMar w:left="300" w:top="897" w:right="319" w:bottom="1440" w:gutter="0" w:footer="0" w:header="0"/>
          <w:type w:val="continuous"/>
        </w:sectPr>
      </w:pPr>
    </w:p>
    <w:p>
      <w:pPr>
        <w:ind w:right="80"/>
        <w:spacing w:after="0" w:line="191"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0"/>
          <w:szCs w:val="20"/>
          <w:color w:val="auto"/>
        </w:rPr>
      </w:pPr>
    </w:p>
    <w:p>
      <w:pPr>
        <w:ind w:right="420"/>
        <w:spacing w:after="0" w:line="180"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1" w:lineRule="exact"/>
        <w:rPr>
          <w:sz w:val="20"/>
          <w:szCs w:val="20"/>
          <w:color w:val="auto"/>
        </w:rPr>
      </w:pPr>
    </w:p>
    <w:p>
      <w:pPr>
        <w:ind w:firstLine="127"/>
        <w:spacing w:after="0" w:line="191" w:lineRule="exact"/>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84" w:lineRule="exact"/>
        <w:tabs>
          <w:tab w:leader="none" w:pos="568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6"/>
          <w:szCs w:val="16"/>
          <w:color w:val="auto"/>
        </w:rPr>
        <w:t>☒</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aggregate market value of the shares of FNF common stock held by non-affiliates of the registrant as of June 30, 2025</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was $13,873,627,890 based on the closing price of $54.06 as reported by The New York Stock Exchange.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number of shares outstanding of the Registrant's common stock as of January 31, 2026 were:</w:t>
      </w:r>
    </w:p>
    <w:p>
      <w:pPr>
        <w:spacing w:after="0" w:line="96"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1"/>
          <w:szCs w:val="11"/>
          <w:color w:val="auto"/>
        </w:rPr>
        <w:t>FNF Common Stock</w:t>
        <w:tab/>
        <w:t>271,137,574</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The information in Part III hereof for the fiscal year ended December 31, 2025, will be filed within 120 days after the close of the fiscal year that is the subject of this Report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635635</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95885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40" w:type="dxa"/>
            <w:vAlign w:val="bottom"/>
            <w:gridSpan w:val="15"/>
          </w:tcPr>
          <w:p>
            <w:pPr>
              <w:jc w:val="center"/>
              <w:ind w:right="2880"/>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0"/>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20" w:type="dxa"/>
            <w:vAlign w:val="bottom"/>
            <w:gridSpan w:val="13"/>
          </w:tcPr>
          <w:p>
            <w:pPr>
              <w:jc w:val="center"/>
              <w:ind w:right="390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86"/>
        </w:trPr>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500" w:type="dxa"/>
            <w:vAlign w:val="bottom"/>
            <w:gridSpan w:val="14"/>
          </w:tcPr>
          <w:p>
            <w:pPr>
              <w:jc w:val="center"/>
              <w:ind w:right="3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49"/>
        </w:trPr>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Page</w:t>
            </w:r>
          </w:p>
        </w:tc>
      </w:tr>
      <w:tr>
        <w:trPr>
          <w:trHeight w:val="167"/>
        </w:trPr>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w:t>
            </w:r>
          </w:p>
        </w:tc>
      </w:tr>
      <w:tr>
        <w:trPr>
          <w:trHeight w:val="173"/>
        </w:trPr>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424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0000FF"/>
              </w:rPr>
              <w:t>Business</w:t>
            </w:r>
          </w:p>
        </w:tc>
        <w:tc>
          <w:tcPr>
            <w:tcW w:w="8360" w:type="dxa"/>
            <w:vAlign w:val="bottom"/>
            <w:gridSpan w:val="28"/>
          </w:tcPr>
          <w:p>
            <w:pPr>
              <w:spacing w:after="0"/>
              <w:rPr>
                <w:sz w:val="13"/>
                <w:szCs w:val="13"/>
                <w:color w:val="auto"/>
              </w:rPr>
            </w:pP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85"/>
              </w:rPr>
              <w:t>4</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2"/>
              </w:rPr>
              <w:t>Item 1A.</w:t>
            </w:r>
          </w:p>
        </w:tc>
        <w:tc>
          <w:tcPr>
            <w:tcW w:w="700" w:type="dxa"/>
            <w:vAlign w:val="bottom"/>
          </w:tcPr>
          <w:p>
            <w:pPr>
              <w:spacing w:after="0"/>
              <w:rPr>
                <w:sz w:val="13"/>
                <w:szCs w:val="13"/>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160" w:type="dxa"/>
            <w:vAlign w:val="bottom"/>
            <w:gridSpan w:val="25"/>
          </w:tcPr>
          <w:p>
            <w:pPr>
              <w:spacing w:after="0"/>
              <w:rPr>
                <w:sz w:val="13"/>
                <w:szCs w:val="13"/>
                <w:color w:val="auto"/>
              </w:rPr>
            </w:pPr>
          </w:p>
        </w:tc>
        <w:tc>
          <w:tcPr>
            <w:tcW w:w="500" w:type="dxa"/>
            <w:vAlign w:val="bottom"/>
            <w:gridSpan w:val="2"/>
          </w:tcPr>
          <w:p>
            <w:pPr>
              <w:spacing w:after="0"/>
              <w:rPr>
                <w:sz w:val="13"/>
                <w:szCs w:val="13"/>
                <w:color w:val="auto"/>
              </w:rPr>
            </w:pPr>
          </w:p>
        </w:tc>
        <w:tc>
          <w:tcPr>
            <w:tcW w:w="1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0000FF"/>
                <w:w w:val="99"/>
              </w:rPr>
              <w:t>37</w:t>
            </w: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3"/>
              </w:rPr>
              <w:t>Item 1B.</w:t>
            </w:r>
          </w:p>
        </w:tc>
        <w:tc>
          <w:tcPr>
            <w:tcW w:w="700" w:type="dxa"/>
            <w:vAlign w:val="bottom"/>
          </w:tcPr>
          <w:p>
            <w:pPr>
              <w:spacing w:after="0"/>
              <w:rPr>
                <w:sz w:val="13"/>
                <w:szCs w:val="13"/>
                <w:color w:val="auto"/>
              </w:rPr>
            </w:pPr>
          </w:p>
        </w:tc>
        <w:tc>
          <w:tcPr>
            <w:tcW w:w="16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7260" w:type="dxa"/>
            <w:vAlign w:val="bottom"/>
            <w:gridSpan w:val="19"/>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53</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 1C.</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54</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2.</w:t>
            </w:r>
          </w:p>
        </w:tc>
        <w:tc>
          <w:tcPr>
            <w:tcW w:w="100" w:type="dxa"/>
            <w:vAlign w:val="bottom"/>
            <w:tcBorders>
              <w:top w:val="single" w:sz="8" w:color="0000FF"/>
            </w:tcBorders>
            <w:gridSpan w:val="2"/>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8080" w:type="dxa"/>
            <w:vAlign w:val="bottom"/>
            <w:gridSpan w:val="24"/>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7820" w:type="dxa"/>
            <w:vAlign w:val="bottom"/>
            <w:gridSpan w:val="22"/>
          </w:tcPr>
          <w:p>
            <w:pPr>
              <w:spacing w:after="0"/>
              <w:rPr>
                <w:sz w:val="13"/>
                <w:szCs w:val="13"/>
                <w:color w:val="auto"/>
              </w:rPr>
            </w:pPr>
          </w:p>
        </w:tc>
        <w:tc>
          <w:tcPr>
            <w:tcW w:w="500" w:type="dxa"/>
            <w:vAlign w:val="bottom"/>
            <w:gridSpan w:val="2"/>
          </w:tcPr>
          <w:p>
            <w:pPr>
              <w:spacing w:after="0"/>
              <w:rPr>
                <w:sz w:val="13"/>
                <w:szCs w:val="13"/>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Item 4.</w:t>
            </w:r>
          </w:p>
        </w:tc>
        <w:tc>
          <w:tcPr>
            <w:tcW w:w="9580" w:type="dxa"/>
            <w:vAlign w:val="bottom"/>
            <w:gridSpan w:val="30"/>
          </w:tcPr>
          <w:p>
            <w:pPr>
              <w:ind w:left="700"/>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55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4220" w:type="dxa"/>
            <w:vAlign w:val="bottom"/>
            <w:gridSpan w:val="7"/>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5.</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36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520" w:type="dxa"/>
            <w:vAlign w:val="bottom"/>
          </w:tcPr>
          <w:p>
            <w:pPr>
              <w:spacing w:after="0"/>
              <w:rPr>
                <w:sz w:val="13"/>
                <w:szCs w:val="13"/>
                <w:color w:val="auto"/>
              </w:rPr>
            </w:pP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55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6.</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9"/>
              </w:rPr>
              <w:t>Reserved</w:t>
            </w:r>
          </w:p>
        </w:tc>
        <w:tc>
          <w:tcPr>
            <w:tcW w:w="8340" w:type="dxa"/>
            <w:vAlign w:val="bottom"/>
            <w:gridSpan w:val="27"/>
          </w:tcPr>
          <w:p>
            <w:pPr>
              <w:spacing w:after="0"/>
              <w:rPr>
                <w:sz w:val="13"/>
                <w:szCs w:val="13"/>
                <w:color w:val="auto"/>
              </w:rPr>
            </w:pPr>
          </w:p>
        </w:tc>
        <w:tc>
          <w:tcPr>
            <w:tcW w:w="500" w:type="dxa"/>
            <w:vAlign w:val="bottom"/>
            <w:gridSpan w:val="2"/>
          </w:tcPr>
          <w:p>
            <w:pPr>
              <w:spacing w:after="0"/>
              <w:rPr>
                <w:sz w:val="13"/>
                <w:szCs w:val="13"/>
                <w:color w:val="auto"/>
              </w:rPr>
            </w:pPr>
          </w:p>
        </w:tc>
        <w:tc>
          <w:tcPr>
            <w:tcW w:w="1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0000FF"/>
                <w:w w:val="99"/>
              </w:rPr>
              <w:t>57</w:t>
            </w: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7.</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58</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2"/>
              </w:rPr>
              <w:t>Item 7A.</w:t>
            </w:r>
          </w:p>
        </w:tc>
        <w:tc>
          <w:tcPr>
            <w:tcW w:w="700" w:type="dxa"/>
            <w:vAlign w:val="bottom"/>
          </w:tcPr>
          <w:p>
            <w:pPr>
              <w:spacing w:after="0"/>
              <w:rPr>
                <w:sz w:val="13"/>
                <w:szCs w:val="13"/>
                <w:color w:val="auto"/>
              </w:rPr>
            </w:pPr>
          </w:p>
        </w:tc>
        <w:tc>
          <w:tcPr>
            <w:tcW w:w="33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 About Market Risk</w:t>
            </w:r>
          </w:p>
        </w:tc>
        <w:tc>
          <w:tcPr>
            <w:tcW w:w="5500" w:type="dxa"/>
            <w:vAlign w:val="bottom"/>
            <w:gridSpan w:val="14"/>
          </w:tcPr>
          <w:p>
            <w:pPr>
              <w:spacing w:after="0"/>
              <w:rPr>
                <w:sz w:val="13"/>
                <w:szCs w:val="13"/>
                <w:color w:val="auto"/>
              </w:rPr>
            </w:pPr>
          </w:p>
        </w:tc>
        <w:tc>
          <w:tcPr>
            <w:tcW w:w="640" w:type="dxa"/>
            <w:vAlign w:val="bottom"/>
            <w:gridSpan w:val="4"/>
          </w:tcPr>
          <w:p>
            <w:pPr>
              <w:jc w:val="center"/>
              <w:ind w:left="430"/>
              <w:spacing w:after="0"/>
              <w:rPr>
                <w:sz w:val="20"/>
                <w:szCs w:val="20"/>
                <w:color w:val="auto"/>
              </w:rPr>
            </w:pPr>
            <w:r>
              <w:rPr>
                <w:rFonts w:ascii="Times New Roman" w:cs="Times New Roman" w:eastAsia="Times New Roman" w:hAnsi="Times New Roman"/>
                <w:sz w:val="14"/>
                <w:szCs w:val="14"/>
                <w:color w:val="0000FF"/>
                <w:w w:val="99"/>
              </w:rPr>
              <w:t>92</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8.</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680" w:type="dxa"/>
            <w:vAlign w:val="bottom"/>
            <w:gridSpan w:val="5"/>
          </w:tcPr>
          <w:p>
            <w:pPr>
              <w:jc w:val="center"/>
              <w:ind w:left="390"/>
              <w:spacing w:after="0"/>
              <w:rPr>
                <w:sz w:val="20"/>
                <w:szCs w:val="20"/>
                <w:color w:val="auto"/>
              </w:rPr>
            </w:pPr>
            <w:r>
              <w:rPr>
                <w:rFonts w:ascii="Times New Roman" w:cs="Times New Roman" w:eastAsia="Times New Roman" w:hAnsi="Times New Roman"/>
                <w:sz w:val="14"/>
                <w:szCs w:val="14"/>
                <w:color w:val="0000FF"/>
                <w:w w:val="99"/>
              </w:rPr>
              <w:t>97</w:t>
            </w:r>
          </w:p>
        </w:tc>
        <w:tc>
          <w:tcPr>
            <w:tcW w:w="460" w:type="dxa"/>
            <w:vAlign w:val="bottom"/>
          </w:tcPr>
          <w:p>
            <w:pPr>
              <w:spacing w:after="0"/>
              <w:rPr>
                <w:sz w:val="13"/>
                <w:szCs w:val="13"/>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9.</w:t>
            </w:r>
          </w:p>
        </w:tc>
        <w:tc>
          <w:tcPr>
            <w:tcW w:w="1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191</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200" w:type="dxa"/>
            <w:vAlign w:val="bottom"/>
            <w:gridSpan w:val="4"/>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2"/>
              </w:rPr>
              <w:t>Item 9A.</w:t>
            </w:r>
          </w:p>
        </w:tc>
        <w:tc>
          <w:tcPr>
            <w:tcW w:w="700" w:type="dxa"/>
            <w:vAlign w:val="bottom"/>
          </w:tcPr>
          <w:p>
            <w:pPr>
              <w:spacing w:after="0"/>
              <w:rPr>
                <w:sz w:val="13"/>
                <w:szCs w:val="13"/>
                <w:color w:val="auto"/>
              </w:rPr>
            </w:pPr>
          </w:p>
        </w:tc>
        <w:tc>
          <w:tcPr>
            <w:tcW w:w="14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480" w:type="dxa"/>
            <w:vAlign w:val="bottom"/>
            <w:gridSpan w:val="21"/>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000FF"/>
              </w:rPr>
              <w:t>191</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 9B.</w:t>
            </w:r>
          </w:p>
        </w:tc>
        <w:tc>
          <w:tcPr>
            <w:tcW w:w="700" w:type="dxa"/>
            <w:vAlign w:val="bottom"/>
          </w:tcPr>
          <w:p>
            <w:pPr>
              <w:spacing w:after="0"/>
              <w:rPr>
                <w:sz w:val="13"/>
                <w:szCs w:val="13"/>
                <w:color w:val="auto"/>
              </w:rPr>
            </w:pPr>
          </w:p>
        </w:tc>
        <w:tc>
          <w:tcPr>
            <w:tcW w:w="14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480" w:type="dxa"/>
            <w:vAlign w:val="bottom"/>
            <w:gridSpan w:val="21"/>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191</w:t>
            </w: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200" w:type="dxa"/>
            <w:vAlign w:val="bottom"/>
            <w:gridSpan w:val="4"/>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3"/>
              </w:rPr>
              <w:t>Item 9C.</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000FF"/>
              </w:rPr>
              <w:t>191</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Borders>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418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10.</w:t>
            </w:r>
          </w:p>
        </w:tc>
        <w:tc>
          <w:tcPr>
            <w:tcW w:w="700" w:type="dxa"/>
            <w:vAlign w:val="bottom"/>
          </w:tcPr>
          <w:p>
            <w:pPr>
              <w:spacing w:after="0"/>
              <w:rPr>
                <w:sz w:val="13"/>
                <w:szCs w:val="13"/>
                <w:color w:val="auto"/>
              </w:rPr>
            </w:pPr>
          </w:p>
        </w:tc>
        <w:tc>
          <w:tcPr>
            <w:tcW w:w="88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Directors and Executive Officers of the Registrant</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192</w:t>
            </w:r>
          </w:p>
        </w:tc>
      </w:tr>
      <w:tr>
        <w:trPr>
          <w:trHeight w:val="160"/>
        </w:trPr>
        <w:tc>
          <w:tcPr>
            <w:tcW w:w="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11.</w:t>
            </w:r>
          </w:p>
        </w:tc>
        <w:tc>
          <w:tcPr>
            <w:tcW w:w="700" w:type="dxa"/>
            <w:vAlign w:val="bottom"/>
          </w:tcPr>
          <w:p>
            <w:pPr>
              <w:spacing w:after="0"/>
              <w:rPr>
                <w:sz w:val="13"/>
                <w:szCs w:val="13"/>
                <w:color w:val="auto"/>
              </w:rPr>
            </w:pPr>
          </w:p>
        </w:tc>
        <w:tc>
          <w:tcPr>
            <w:tcW w:w="284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6040" w:type="dxa"/>
            <w:vAlign w:val="bottom"/>
            <w:gridSpan w:val="15"/>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0E32E1"/>
            </w:tcBorders>
            <w:gridSpan w:val="4"/>
          </w:tcPr>
          <w:p>
            <w:pPr>
              <w:jc w:val="center"/>
              <w:spacing w:after="0"/>
              <w:rPr>
                <w:sz w:val="20"/>
                <w:szCs w:val="20"/>
                <w:color w:val="auto"/>
              </w:rPr>
            </w:pPr>
            <w:r>
              <w:rPr>
                <w:rFonts w:ascii="Times New Roman" w:cs="Times New Roman" w:eastAsia="Times New Roman" w:hAnsi="Times New Roman"/>
                <w:sz w:val="14"/>
                <w:szCs w:val="14"/>
                <w:color w:val="0E32E1"/>
                <w:w w:val="95"/>
              </w:rPr>
              <w:t>192</w:t>
            </w:r>
          </w:p>
        </w:tc>
        <w:tc>
          <w:tcPr>
            <w:tcW w:w="460" w:type="dxa"/>
            <w:vAlign w:val="bottom"/>
          </w:tcPr>
          <w:p>
            <w:pPr>
              <w:spacing w:after="0"/>
              <w:rPr>
                <w:sz w:val="13"/>
                <w:szCs w:val="13"/>
                <w:color w:val="auto"/>
              </w:rPr>
            </w:pPr>
          </w:p>
        </w:tc>
      </w:tr>
      <w:tr>
        <w:trPr>
          <w:trHeight w:val="20"/>
        </w:trPr>
        <w:tc>
          <w:tcPr>
            <w:tcW w:w="4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80" w:type="dxa"/>
            <w:vAlign w:val="bottom"/>
            <w:tcBorders>
              <w:right w:val="single" w:sz="8" w:color="0E32E1"/>
            </w:tcBorders>
          </w:tcPr>
          <w:p>
            <w:pPr>
              <w:spacing w:after="0" w:line="20" w:lineRule="exact"/>
              <w:rPr>
                <w:sz w:val="1"/>
                <w:szCs w:val="1"/>
                <w:color w:val="auto"/>
              </w:rPr>
            </w:pPr>
          </w:p>
        </w:tc>
        <w:tc>
          <w:tcPr>
            <w:tcW w:w="200" w:type="dxa"/>
            <w:vAlign w:val="bottom"/>
            <w:gridSpan w:val="4"/>
            <w:shd w:val="clear" w:color="auto" w:fill="0E32E1"/>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12.</w:t>
            </w:r>
          </w:p>
        </w:tc>
        <w:tc>
          <w:tcPr>
            <w:tcW w:w="700" w:type="dxa"/>
            <w:vAlign w:val="bottom"/>
          </w:tcPr>
          <w:p>
            <w:pPr>
              <w:spacing w:after="0"/>
              <w:rPr>
                <w:sz w:val="13"/>
                <w:szCs w:val="13"/>
                <w:color w:val="auto"/>
              </w:rPr>
            </w:pPr>
          </w:p>
        </w:tc>
        <w:tc>
          <w:tcPr>
            <w:tcW w:w="57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3140" w:type="dxa"/>
            <w:vAlign w:val="bottom"/>
            <w:gridSpan w:val="2"/>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192</w:t>
            </w:r>
          </w:p>
        </w:tc>
      </w:tr>
      <w:tr>
        <w:trPr>
          <w:trHeight w:val="160"/>
        </w:trPr>
        <w:tc>
          <w:tcPr>
            <w:tcW w:w="5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13.</w:t>
            </w:r>
          </w:p>
        </w:tc>
        <w:tc>
          <w:tcPr>
            <w:tcW w:w="700" w:type="dxa"/>
            <w:vAlign w:val="bottom"/>
          </w:tcPr>
          <w:p>
            <w:pPr>
              <w:spacing w:after="0"/>
              <w:rPr>
                <w:sz w:val="13"/>
                <w:szCs w:val="13"/>
                <w:color w:val="auto"/>
              </w:rPr>
            </w:pPr>
          </w:p>
        </w:tc>
        <w:tc>
          <w:tcPr>
            <w:tcW w:w="43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4580" w:type="dxa"/>
            <w:vAlign w:val="bottom"/>
            <w:gridSpan w:val="9"/>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bottom w:val="single" w:sz="8" w:color="0E32E1"/>
            </w:tcBorders>
            <w:gridSpan w:val="4"/>
          </w:tcPr>
          <w:p>
            <w:pPr>
              <w:jc w:val="center"/>
              <w:spacing w:after="0"/>
              <w:rPr>
                <w:sz w:val="20"/>
                <w:szCs w:val="20"/>
                <w:color w:val="auto"/>
              </w:rPr>
            </w:pPr>
            <w:r>
              <w:rPr>
                <w:rFonts w:ascii="Times New Roman" w:cs="Times New Roman" w:eastAsia="Times New Roman" w:hAnsi="Times New Roman"/>
                <w:sz w:val="14"/>
                <w:szCs w:val="14"/>
                <w:color w:val="0E32E1"/>
                <w:w w:val="95"/>
              </w:rPr>
              <w:t>192</w:t>
            </w:r>
          </w:p>
        </w:tc>
        <w:tc>
          <w:tcPr>
            <w:tcW w:w="460" w:type="dxa"/>
            <w:vAlign w:val="bottom"/>
          </w:tcPr>
          <w:p>
            <w:pPr>
              <w:spacing w:after="0"/>
              <w:rPr>
                <w:sz w:val="13"/>
                <w:szCs w:val="13"/>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14.</w:t>
            </w:r>
          </w:p>
        </w:tc>
        <w:tc>
          <w:tcPr>
            <w:tcW w:w="9580" w:type="dxa"/>
            <w:vAlign w:val="bottom"/>
            <w:gridSpan w:val="30"/>
          </w:tcPr>
          <w:p>
            <w:pPr>
              <w:ind w:left="700"/>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192</w:t>
            </w:r>
          </w:p>
        </w:tc>
      </w:tr>
      <w:tr>
        <w:trPr>
          <w:trHeight w:val="203"/>
        </w:trPr>
        <w:tc>
          <w:tcPr>
            <w:tcW w:w="4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11"/>
          </w:tcPr>
          <w:p>
            <w:pPr>
              <w:jc w:val="center"/>
              <w:ind w:right="420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480" w:type="dxa"/>
            <w:vAlign w:val="bottom"/>
          </w:tcPr>
          <w:p>
            <w:pPr>
              <w:spacing w:after="0"/>
              <w:rPr>
                <w:sz w:val="17"/>
                <w:szCs w:val="17"/>
                <w:color w:val="auto"/>
              </w:rPr>
            </w:pPr>
          </w:p>
        </w:tc>
        <w:tc>
          <w:tcPr>
            <w:tcW w:w="20" w:type="dxa"/>
            <w:vAlign w:val="bottom"/>
            <w:tcBorders>
              <w:top w:val="single" w:sz="8" w:color="0E32E1"/>
            </w:tcBorders>
          </w:tcPr>
          <w:p>
            <w:pPr>
              <w:spacing w:after="0"/>
              <w:rPr>
                <w:sz w:val="17"/>
                <w:szCs w:val="17"/>
                <w:color w:val="auto"/>
              </w:rPr>
            </w:pPr>
          </w:p>
        </w:tc>
        <w:tc>
          <w:tcPr>
            <w:tcW w:w="10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0" w:type="dxa"/>
            <w:vAlign w:val="bottom"/>
            <w:tcBorders>
              <w:top w:val="single" w:sz="8" w:color="0E32E1"/>
            </w:tcBorders>
          </w:tcPr>
          <w:p>
            <w:pPr>
              <w:spacing w:after="0"/>
              <w:rPr>
                <w:sz w:val="17"/>
                <w:szCs w:val="17"/>
                <w:color w:val="auto"/>
              </w:rPr>
            </w:pPr>
          </w:p>
        </w:tc>
        <w:tc>
          <w:tcPr>
            <w:tcW w:w="460" w:type="dxa"/>
            <w:vAlign w:val="bottom"/>
          </w:tcPr>
          <w:p>
            <w:pPr>
              <w:spacing w:after="0"/>
              <w:rPr>
                <w:sz w:val="17"/>
                <w:szCs w:val="17"/>
                <w:color w:val="auto"/>
              </w:rPr>
            </w:pPr>
          </w:p>
        </w:tc>
      </w:tr>
      <w:tr>
        <w:trPr>
          <w:trHeight w:val="160"/>
        </w:trPr>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8"/>
              </w:rPr>
              <w:t>Item 15.</w:t>
            </w:r>
          </w:p>
        </w:tc>
        <w:tc>
          <w:tcPr>
            <w:tcW w:w="700" w:type="dxa"/>
            <w:vAlign w:val="bottom"/>
          </w:tcPr>
          <w:p>
            <w:pPr>
              <w:spacing w:after="0"/>
              <w:rPr>
                <w:sz w:val="13"/>
                <w:szCs w:val="13"/>
                <w:color w:val="auto"/>
              </w:rPr>
            </w:pPr>
          </w:p>
        </w:tc>
        <w:tc>
          <w:tcPr>
            <w:tcW w:w="41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Exhibits, Financial Statement Schedules</w:t>
            </w:r>
          </w:p>
        </w:tc>
        <w:tc>
          <w:tcPr>
            <w:tcW w:w="540" w:type="dxa"/>
            <w:vAlign w:val="bottom"/>
            <w:tcBorders>
              <w:top w:val="single" w:sz="8" w:color="0000FF"/>
            </w:tcBorders>
            <w:gridSpan w:val="5"/>
          </w:tcPr>
          <w:p>
            <w:pPr>
              <w:spacing w:after="0"/>
              <w:rPr>
                <w:sz w:val="13"/>
                <w:szCs w:val="13"/>
                <w:color w:val="auto"/>
              </w:rPr>
            </w:pPr>
          </w:p>
        </w:tc>
        <w:tc>
          <w:tcPr>
            <w:tcW w:w="4200" w:type="dxa"/>
            <w:vAlign w:val="bottom"/>
            <w:gridSpan w:val="6"/>
          </w:tcPr>
          <w:p>
            <w:pPr>
              <w:spacing w:after="0"/>
              <w:rPr>
                <w:sz w:val="13"/>
                <w:szCs w:val="13"/>
                <w:color w:val="auto"/>
              </w:rPr>
            </w:pPr>
          </w:p>
        </w:tc>
        <w:tc>
          <w:tcPr>
            <w:tcW w:w="114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E32E1"/>
              </w:rPr>
              <w:t>193</w:t>
            </w:r>
          </w:p>
        </w:tc>
      </w:tr>
      <w:tr>
        <w:trPr>
          <w:trHeight w:val="160"/>
        </w:trPr>
        <w:tc>
          <w:tcPr>
            <w:tcW w:w="5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Item 16.</w:t>
            </w:r>
          </w:p>
        </w:tc>
        <w:tc>
          <w:tcPr>
            <w:tcW w:w="700" w:type="dxa"/>
            <w:vAlign w:val="bottom"/>
          </w:tcPr>
          <w:p>
            <w:pPr>
              <w:spacing w:after="0"/>
              <w:rPr>
                <w:sz w:val="13"/>
                <w:szCs w:val="13"/>
                <w:color w:val="auto"/>
              </w:rPr>
            </w:pPr>
          </w:p>
        </w:tc>
        <w:tc>
          <w:tcPr>
            <w:tcW w:w="5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Summary</w:t>
            </w:r>
          </w:p>
        </w:tc>
        <w:tc>
          <w:tcPr>
            <w:tcW w:w="1700" w:type="dxa"/>
            <w:vAlign w:val="bottom"/>
            <w:tcBorders>
              <w:top w:val="single" w:sz="8" w:color="0000FF"/>
            </w:tcBorders>
            <w:gridSpan w:val="9"/>
          </w:tcPr>
          <w:p>
            <w:pPr>
              <w:spacing w:after="0"/>
              <w:rPr>
                <w:sz w:val="13"/>
                <w:szCs w:val="13"/>
                <w:color w:val="auto"/>
              </w:rPr>
            </w:pPr>
          </w:p>
        </w:tc>
        <w:tc>
          <w:tcPr>
            <w:tcW w:w="6600" w:type="dxa"/>
            <w:vAlign w:val="bottom"/>
            <w:gridSpan w:val="17"/>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Borders>
              <w:top w:val="single" w:sz="8" w:color="0E32E1"/>
              <w:bottom w:val="single" w:sz="8" w:color="0E32E1"/>
            </w:tcBorders>
            <w:gridSpan w:val="4"/>
          </w:tcPr>
          <w:p>
            <w:pPr>
              <w:jc w:val="center"/>
              <w:spacing w:after="0"/>
              <w:rPr>
                <w:sz w:val="20"/>
                <w:szCs w:val="20"/>
                <w:color w:val="auto"/>
              </w:rPr>
            </w:pPr>
            <w:r>
              <w:rPr>
                <w:rFonts w:ascii="Times New Roman" w:cs="Times New Roman" w:eastAsia="Times New Roman" w:hAnsi="Times New Roman"/>
                <w:sz w:val="14"/>
                <w:szCs w:val="14"/>
                <w:color w:val="0E32E1"/>
                <w:w w:val="95"/>
              </w:rPr>
              <w:t>199</w:t>
            </w:r>
          </w:p>
        </w:tc>
        <w:tc>
          <w:tcPr>
            <w:tcW w:w="46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 Summary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Relating to Market Conditions</w:t>
      </w:r>
    </w:p>
    <w:p>
      <w:pPr>
        <w:spacing w:after="0" w:line="96"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economic and credit market conditions deteriorate, it could have a material adverse impact on our investment portfolio and could also cause our stock price to fluctuate significantly.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in the economy generally could adversely affect our business, results of operations, and financial condition.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investments are subject to market and credit risks. These risks could be heightened during periods of extreme volatility or disruption in financial and credit markets.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adverse changes in the levels of real estate activity occur, our revenues may decline.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rate fluctuations could adversely affect our business, financial condition, liquidity, results of operations, and cash flows.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Relating to Our Business</w:t>
      </w:r>
    </w:p>
    <w:p>
      <w:pPr>
        <w:spacing w:after="0" w:line="96" w:lineRule="exact"/>
        <w:rPr>
          <w:sz w:val="20"/>
          <w:szCs w:val="20"/>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recorded goodwill as a result of prior acquisitions, and an economic downturn could cause these balances to become impaired, requiring write-downs that would reduce our operating income.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face losses if our actual experience differs significantly from our reserve assumptions.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national marketing organizations and independent agents, sales of our products may be reduced.</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enterprise-wide risk management processes could result in unexpected monetary losses, damage to our reputation, additional costs or impairment of our ability to conduct business effectively.</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9"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Company’s dealings with large mortgage lenders, servicers, or government-sponsored enterprises could adversely affect our title insurance and mortgage servicing subsidiaries.</w:t>
      </w:r>
    </w:p>
    <w:p>
      <w:pPr>
        <w:spacing w:after="0" w:line="24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rating agencies downgrade our insurance companies, our results of operations and financial condition may suffer.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claim loss prevention procedures fail, we could incur significant claim losses.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independent agents for a significant amount of our title insurance policies could adversely impact the frequency and severity of title claims.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is subject to risk due to our owned distribution strategy and investments in distribution consolidation.</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valuation of investments and the determinations of the amounts of allowances and impairments taken on our investments may include methodologies, estimates, and assumptions, which are subject to differing interpretations and, if changed, could materially adversely affect our results of operations and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Related to the F&amp;G Distribution</w:t>
      </w:r>
    </w:p>
    <w:p>
      <w:pPr>
        <w:spacing w:after="0" w:line="96" w:lineRule="exact"/>
        <w:rPr>
          <w:sz w:val="20"/>
          <w:szCs w:val="20"/>
          <w:color w:val="auto"/>
        </w:rPr>
      </w:pPr>
    </w:p>
    <w:p>
      <w:pPr>
        <w:ind w:left="500" w:hanging="240"/>
        <w:spacing w:after="0"/>
        <w:tabs>
          <w:tab w:leader="none" w:pos="500" w:val="left"/>
        </w:tabs>
        <w:numPr>
          <w:ilvl w:val="0"/>
          <w:numId w:val="5"/>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The F&amp;G Distribution could adversely affect our results of operations or financial condition.</w:t>
      </w:r>
    </w:p>
    <w:p>
      <w:pPr>
        <w:spacing w:after="0" w:line="93" w:lineRule="exact"/>
        <w:rPr>
          <w:rFonts w:ascii="Times New Roman" w:cs="Times New Roman" w:eastAsia="Times New Roman" w:hAnsi="Times New Roman"/>
          <w:sz w:val="13"/>
          <w:szCs w:val="13"/>
          <w:b w:val="1"/>
          <w:bCs w:val="1"/>
          <w:i w:val="1"/>
          <w:iCs w:val="1"/>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F&amp;G directors may have actual or potential conflicts of interest because of their FNF equity ownership or their current or former FNF positions.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Relating to the Geographic Concentrations of our Business Segments</w:t>
      </w:r>
    </w:p>
    <w:p>
      <w:pPr>
        <w:spacing w:after="0" w:line="96" w:lineRule="exact"/>
        <w:rPr>
          <w:sz w:val="20"/>
          <w:szCs w:val="20"/>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we are dependent upon California and Texas for approximately 12.2% and 14.1% of our title insurance premiums, respectively, our Title segment may be adversely affected by regulatory conditions in California and/or Texas.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Concentration in certain states for the distribution of our life insurance and annuity products in our F&amp;G segment may subject us to losses attributable to economic downturns or catastrophes in those states.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Relating to Government Regulation of the Insurance Industry</w:t>
      </w:r>
    </w:p>
    <w:p>
      <w:pPr>
        <w:spacing w:after="0" w:line="96" w:lineRule="exact"/>
        <w:rPr>
          <w:sz w:val="20"/>
          <w:szCs w:val="20"/>
          <w:color w:val="auto"/>
        </w:rPr>
      </w:pPr>
    </w:p>
    <w:p>
      <w:pPr>
        <w:jc w:val="both"/>
        <w:ind w:left="520" w:hanging="260"/>
        <w:spacing w:after="0" w:line="270"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subsidiaries must comply with federal and state statutes and regulations. These statutes and regulations may increase our costs, impede our provision of certain products or services, or impose burdensome conditions on actions that we might seek to take to increase the revenues of those subsidiaries, resulting in decreased demand for the Company's products and services or otherwise adversely affecting the Company.</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F&amp;G segment is highly regulated and subject to numerous legal restrictions and regulations.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F&amp;G's business is subject to government regulation in each of the jurisdictions in which we conduct business and regulators have broad administrative and discretionary authority over our business and business practices.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F&amp;G's business in the United States is regulated by the National Association of Insurance Commissioners (“NAIC”), which continues to consider reforms including relating to cybersecurity regulations, best interest standards, risk-based capital (“RBC”) and life insurance reserves.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emerging developments relating to market conduct standards for the financial industry emerging from the United States Department of Labor’s (“DOL”) implementation of the “fiduciary rule” may over time materially affect our business.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regulations under ERISA could adversely affect the Company by increasing the Company’s regulatory and compliance burden.</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regulation in Bermuda and the Cayman Islands may limit or curtail our activities, and changes to existing regulations may affect our ability to continue to offer our existing products and services, or new products and services.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SECURE 2.0 Act of 2022 may impact our business and the markets in which we compete.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investigations of the insurance industry may lead to fines, settlements, new regulation or legal uncertainty, which could negatively affect our results of operations.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Changing rules, public disclosure regulations, and stakeholder expectations on environmental, social, and corporate governance (“ESG”) related matters create a variety of risks for our business.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Relating to the Credit Risk of our Counterparties</w:t>
      </w:r>
    </w:p>
    <w:p>
      <w:pPr>
        <w:spacing w:after="0" w:line="96"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the credit risk of our counterparties, including companies with whom we have reinsurance agreements or we have purchased equity options.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financial institutions at which we hold escrow funds fail, it could have a material adverse impact on our company.</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Risk Factors Related to a National or Global Crisis, Climate Change, Computer Cyber-terrorism and Other Catastrophic Events</w:t>
      </w:r>
    </w:p>
    <w:p>
      <w:pPr>
        <w:spacing w:after="0" w:line="96"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could be materially and adversely affected by the occurrence of a catastrophe, including natural disasters or those caused by humans.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Business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Introductory Note</w:t>
      </w:r>
    </w:p>
    <w:p>
      <w:pPr>
        <w:spacing w:after="0" w:line="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of Fidelity National Financial, Inc. and its subsidiaries. Except where otherwise noted, all references to "we," "us," "our", the "Company" or "FNF" are to Fidelity National Financial, Inc. and its subsidiaries, taken together.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and (ii) transaction services to the real estate and mortgage industries. FNF is one of the nation’s largest title insurance companies operating through its title insurance underwriters - Fidelity National Title Insurance Company ("FNTIC"), Chicago Title Insurance Company ("Chicago Title"), Commonwealth Land Title Insurance Company ("Commonwealth Land Title"), Alamo Title Insurance ("Alamo Title") and National Title Insurance of New York Inc. ("National Title of New York")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 ("F&amp;G").</w:t>
      </w:r>
    </w:p>
    <w:p>
      <w:pPr>
        <w:spacing w:after="0" w:line="22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December 1, 2022, we completed our previously announced separation and distribution to our shareholders, on a pro rata basis, of approximately 15% of the common stock of F&amp;G (the "F&amp;G Distribution"). Following the F&amp;G Distribution, we retained control of F&amp;G through an approximate 85% ownership stake. The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F&amp;G Distribution. On December 31, 2025, we completed our previously announced distribution to our shareholders, on a pro rata basis, of approximately 12% of the common stock of F&amp;G (the "2025 F&amp;G Distribution"). As a result of the 2025 F&amp;G Distribution, we own approximately 70% of the common stock of F&amp;G.</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a result of the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("FGL Insurance") and Fidelity &amp; Guaranty Life Insurance Company of New York ("FGL NY Insurance"), F&amp;G markets a broad portfolio of deferred annuities, including fixed indexed annuities ("FIA"), registered index-linked annuities ("RILA"), (together referred to as indexed annuities) and fixed rate annuities including multi-year guarantee annuities ("MYGAs"), immediate annuities, indexed universal life insurance ("IUL"), funding agreements (through funding agreement-backed notes issuances ("FABNs") and the Federal Home Loan Bank of Atlanta ("FHLB")) and pension risk transfer solutions ("PRTs"). All of FNF’s core title insurance, real estate, technology and mortgage related businesses, assets and liabilities that are not held by F&amp;G remain with FNF.</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we had the following reporting segments:</w:t>
      </w:r>
    </w:p>
    <w:p>
      <w:pPr>
        <w:spacing w:after="0" w:line="134" w:lineRule="exact"/>
        <w:rPr>
          <w:sz w:val="20"/>
          <w:szCs w:val="20"/>
          <w:color w:val="auto"/>
        </w:rPr>
      </w:pPr>
    </w:p>
    <w:p>
      <w:pPr>
        <w:jc w:val="both"/>
        <w:ind w:left="520" w:hanging="324"/>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This segment consists of the operations of our title insurance underwriters and related businesses, which provide title insurance and escrow and other title-related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91" w:lineRule="exact"/>
        <w:rPr>
          <w:rFonts w:ascii="Times New Roman" w:cs="Times New Roman" w:eastAsia="Times New Roman" w:hAnsi="Times New Roman"/>
          <w:sz w:val="14"/>
          <w:szCs w:val="14"/>
          <w:color w:val="auto"/>
        </w:rPr>
      </w:pPr>
    </w:p>
    <w:p>
      <w:pPr>
        <w:jc w:val="both"/>
        <w:ind w:left="520" w:hanging="324"/>
        <w:spacing w:after="0" w:line="271"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F&amp;G</w:t>
      </w:r>
      <w:r>
        <w:rPr>
          <w:rFonts w:ascii="Times New Roman" w:cs="Times New Roman" w:eastAsia="Times New Roman" w:hAnsi="Times New Roman"/>
          <w:sz w:val="14"/>
          <w:szCs w:val="14"/>
          <w:color w:val="auto"/>
        </w:rPr>
        <w:t>. This segment primarily consists of operations of our annuities and life insurance related businesses. This segment issues a broad portfolio of annuity and life insurance products,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deferred annuities, immediate annuities, and IUL insurance, through its retail distribution channels. This segment also provides funding agreements and PRTs through its institutional channels.</w:t>
      </w:r>
    </w:p>
    <w:p>
      <w:pPr>
        <w:spacing w:after="0" w:line="91" w:lineRule="exact"/>
        <w:rPr>
          <w:rFonts w:ascii="Times New Roman" w:cs="Times New Roman" w:eastAsia="Times New Roman" w:hAnsi="Times New Roman"/>
          <w:sz w:val="14"/>
          <w:szCs w:val="14"/>
          <w:color w:val="auto"/>
        </w:rPr>
      </w:pPr>
    </w:p>
    <w:p>
      <w:pPr>
        <w:ind w:left="520" w:hanging="324"/>
        <w:spacing w:after="0" w:line="29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segment consists of the operations of the parent holding company, our real estate technology subsidiaries, other smaller, non-title businesses and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unallocated corporate overhead expenses and eliminations of revenues and expenses between it and our Title segment.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Strengths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our competitive strengths include the following:</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Corporate principles. </w:t>
      </w:r>
      <w:r>
        <w:rPr>
          <w:rFonts w:ascii="Times New Roman" w:cs="Times New Roman" w:eastAsia="Times New Roman" w:hAnsi="Times New Roman"/>
          <w:sz w:val="14"/>
          <w:szCs w:val="14"/>
          <w:color w:val="auto"/>
        </w:rPr>
        <w:t>A cornerstone of our management philosophy and operating success is the six fundamental precepts upon which we were founded, which are:</w:t>
      </w:r>
    </w:p>
    <w:p>
      <w:pPr>
        <w:spacing w:after="0" w:line="85" w:lineRule="exact"/>
        <w:rPr>
          <w:sz w:val="20"/>
          <w:szCs w:val="20"/>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Autonomy and entrepreneurship;</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Bias for action;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Customer-oriented and motivated;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Minimize bureaucracy;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 ownership;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Highest standard of conduct.</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six precepts are emphasized to our employees from the first day of employment and are integral to many of our strategies described below.</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8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Leading residential and commercial title insurance company. </w:t>
      </w:r>
      <w:r>
        <w:rPr>
          <w:rFonts w:ascii="Times New Roman" w:cs="Times New Roman" w:eastAsia="Times New Roman" w:hAnsi="Times New Roman"/>
          <w:sz w:val="14"/>
          <w:szCs w:val="14"/>
          <w:color w:val="auto"/>
        </w:rPr>
        <w:t>We are one of the largest title insurance companies in the United States and a leading provider of title insurance and escrow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title-related services for real estate transactions. Through the third quarter of 2025, our insurance companies had a 32% share of the U.S. title insurance market, according to the American Land Title Association ("ALTA"). While residential title insurance comprises the majority of our business, we are also a significant provider of commercial real estate title insurance in the United States. Our network of independent title agents and employees in our direct operations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4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Established relationships with our customers. </w:t>
      </w:r>
      <w:r>
        <w:rPr>
          <w:rFonts w:ascii="Times New Roman" w:cs="Times New Roman" w:eastAsia="Times New Roman" w:hAnsi="Times New Roman"/>
          <w:sz w:val="14"/>
          <w:szCs w:val="14"/>
          <w:color w:val="auto"/>
        </w:rPr>
        <w:t>We have strong relationships with the customers who use our title services. Our distribution network, which includes approximately 1,300 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title offices and approximately 5,100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2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Strong value proposition for our customers as a leading provider of services and technology solutions to the title insurance industry. </w:t>
      </w:r>
      <w:r>
        <w:rPr>
          <w:rFonts w:ascii="Times New Roman" w:cs="Times New Roman" w:eastAsia="Times New Roman" w:hAnsi="Times New Roman"/>
          <w:sz w:val="14"/>
          <w:szCs w:val="14"/>
          <w:color w:val="auto"/>
        </w:rPr>
        <w:t>Through our Title segment, we provide our customers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title insurance and escrow and other title-related services that support their ability to effectively close real estate transactions. We help make the real estate closing process more efficient for our customers by offering a single point of access to a broad platform of title-related products and resources necessary to close real estate transactions.</w:t>
      </w:r>
    </w:p>
    <w:p>
      <w:pPr>
        <w:spacing w:after="0" w:line="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Industry leading margins and disciplined operating focus. </w:t>
      </w:r>
      <w:r>
        <w:rPr>
          <w:rFonts w:ascii="Times New Roman" w:cs="Times New Roman" w:eastAsia="Times New Roman" w:hAnsi="Times New Roman"/>
          <w:sz w:val="14"/>
          <w:szCs w:val="14"/>
          <w:color w:val="auto"/>
        </w:rPr>
        <w:t>We have been able to maintain competitive operating margins in part by monitoring our businesses in a disciplined manner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continual evaluation of business activity and management of our cost structure. When compared to our industry competitors, we also believe that our structure is more efficiently designed, which allows us to operate with lower overhead costs.</w:t>
      </w:r>
    </w:p>
    <w:p>
      <w:pPr>
        <w:spacing w:after="0" w:line="3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Proven management team. </w:t>
      </w:r>
      <w:r>
        <w:rPr>
          <w:rFonts w:ascii="Times New Roman" w:cs="Times New Roman" w:eastAsia="Times New Roman" w:hAnsi="Times New Roman"/>
          <w:sz w:val="14"/>
          <w:szCs w:val="14"/>
          <w:color w:val="auto"/>
        </w:rPr>
        <w:t>The managers of our operating businesses have successfully built our Title segment over an extended period of time, resulting in our business attaining the size, scope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that our Title segment's competitive strengths position us well to take advantage of future changes to the real estate market.</w:t>
      </w:r>
    </w:p>
    <w:p>
      <w:pPr>
        <w:spacing w:after="0" w:line="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8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Trusted by distributors. </w:t>
      </w:r>
      <w:r>
        <w:rPr>
          <w:rFonts w:ascii="Times New Roman" w:cs="Times New Roman" w:eastAsia="Times New Roman" w:hAnsi="Times New Roman"/>
          <w:sz w:val="14"/>
          <w:szCs w:val="14"/>
          <w:color w:val="auto"/>
        </w:rPr>
        <w:t>We have long-standing relationships with a broad range of distributors representing nearly 187,000 independent agents and financial advisors, and built on our reputation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transparency and a consistently competitive product portfolio. We offer fixed annuities and life insurance products through a network of approximately 26 leading banks and broker dealers and approximately 300 Independent Marketing Organizations (“IMOs”) that provide back-office support for thousands of independent insurance agents.</w:t>
      </w:r>
    </w:p>
    <w:p>
      <w:pPr>
        <w:spacing w:after="0" w:line="2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Winning in high-growth markets. </w:t>
      </w:r>
      <w:r>
        <w:rPr>
          <w:rFonts w:ascii="Times New Roman" w:cs="Times New Roman" w:eastAsia="Times New Roman" w:hAnsi="Times New Roman"/>
          <w:sz w:val="14"/>
          <w:szCs w:val="14"/>
          <w:color w:val="auto"/>
        </w:rPr>
        <w:t>The U.S. retirement and middle markets are growing, and we are both well-established and well-positioned for continued growth. Our strategic alignment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distribution partners allows us to reach a diverse, growing and underserved middle market demographic in both our retail and institutional channels.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Durable investment management edge. </w:t>
      </w:r>
      <w:r>
        <w:rPr>
          <w:rFonts w:ascii="Times New Roman" w:cs="Times New Roman" w:eastAsia="Times New Roman" w:hAnsi="Times New Roman"/>
          <w:sz w:val="14"/>
          <w:szCs w:val="14"/>
          <w:color w:val="auto"/>
        </w:rPr>
        <w:t>Our strategic partnership with Blackstone Inc. ("Blackstone") provides a sustained competitive advantage for our business. Our liability profile and risk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appetite drive our investment strategy. F&amp;G’s investment and risk offices set strategic asset allocation and risk limits. Blackstone is responsible for idea generation and security selection. Blackstone’s capabilities expand our investment universe to new asset classes and their origination capabilities provide incremental spread. Our high quality, diversified investment portfolio is well positioned to withstand macroeconomic headwinds and continues to perform well. We have enhanced the return while improving the credit quality of our portfolio, and credit related impairments remain low, averaging 7 basis points over the past 3 years, below our pricing assumption.</w:t>
      </w:r>
    </w:p>
    <w:p>
      <w:pPr>
        <w:spacing w:after="0" w:line="4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Clean and profitable in-force book. </w:t>
      </w:r>
      <w:r>
        <w:rPr>
          <w:rFonts w:ascii="Times New Roman" w:cs="Times New Roman" w:eastAsia="Times New Roman" w:hAnsi="Times New Roman"/>
          <w:sz w:val="14"/>
          <w:szCs w:val="14"/>
          <w:color w:val="auto"/>
        </w:rPr>
        <w:t>As a life insurer, we generate spread earnings based on our assets under management and over the lifetime of the liabilities in place. Our disciplined new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underwriting process provides us with stable liabilities, primarily in products that reset annually, which has allowed us to achieve consistently attractive lifetime returns. Approximately 93% of our $36.1 billion FIAs and fixed rate annuities account value are surrender-charge protected and our asset and liability cash flows are well matched. Additionally, our funding agreements, pension risk transfer and immediate annuities are non-surrenderable.</w:t>
      </w:r>
    </w:p>
    <w:p>
      <w:pPr>
        <w:spacing w:after="0" w:line="3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Track record of attracting top talent. </w:t>
      </w:r>
      <w:r>
        <w:rPr>
          <w:rFonts w:ascii="Times New Roman" w:cs="Times New Roman" w:eastAsia="Times New Roman" w:hAnsi="Times New Roman"/>
          <w:sz w:val="14"/>
          <w:szCs w:val="14"/>
          <w:color w:val="auto"/>
        </w:rPr>
        <w:t>F&amp;G’s management team and over 1,100 employees have a record of long-term success and have delivered impressive results in the last few years.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commitment to our cultural values is the cornerstone of our success, whereby F&amp;G is a company of individuals who believe in the power of partnerships, encourage innovation and creativity, and are transparent about decisions while delivering on their commitments. This is borne out by consistently being recognized as an employer of choice as well as an involuntary turnover rate that is well below that of other financial services companies. We believe our flexible, employee-centric work approach positions us as an employer of choice.</w:t>
      </w:r>
    </w:p>
    <w:p>
      <w:pPr>
        <w:spacing w:after="0" w:line="4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Clear governance structure. </w:t>
      </w:r>
      <w:r>
        <w:rPr>
          <w:rFonts w:ascii="Times New Roman" w:cs="Times New Roman" w:eastAsia="Times New Roman" w:hAnsi="Times New Roman"/>
          <w:sz w:val="14"/>
          <w:szCs w:val="14"/>
          <w:color w:val="auto"/>
        </w:rPr>
        <w:t>We have a disciplined approach for considering new lines of business to enter, the appropriate product/channel mix for achieving our targeted new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profitability, and the management of our capital and in-force liabilities. Further, we target and pursue opportunities that leverage our strengths.</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business model is strong and positions us to capitalize on the growth prospects in our addressable markets.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strategy in the Title segment is to maximize operating profits by increasing our market share and managing operating expenses throughout the real estate business cycle. To accomplish our goals, we intend to do the following:</w:t>
      </w:r>
    </w:p>
    <w:p>
      <w:pPr>
        <w:spacing w:after="0" w:line="27" w:lineRule="exact"/>
        <w:rPr>
          <w:sz w:val="20"/>
          <w:szCs w:val="20"/>
          <w:color w:val="auto"/>
        </w:rPr>
      </w:pPr>
    </w:p>
    <w:p>
      <w:pPr>
        <w:jc w:val="both"/>
        <w:ind w:left="520" w:hanging="260"/>
        <w:spacing w:after="0" w:line="265"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Continue to operate multiple title brands independently</w:t>
      </w:r>
      <w:r>
        <w:rPr>
          <w:rFonts w:ascii="Times New Roman" w:cs="Times New Roman" w:eastAsia="Times New Roman" w:hAnsi="Times New Roman"/>
          <w:sz w:val="14"/>
          <w:szCs w:val="14"/>
          <w:color w:val="auto"/>
        </w:rPr>
        <w:t>. We believe that in order to maintain and strengthen our title insurance customer base, we must operate our strongest brands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given marketplace independently of each other. Our national and regional brands include FNTIC, Chicago Title, Commonwealth Land Title, Lawyers Title Company, Ticor Title Company, Alamo Title, and National Title of New York.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31"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Consistently deliver superior customer service. </w:t>
      </w:r>
      <w:r>
        <w:rPr>
          <w:rFonts w:ascii="Times New Roman" w:cs="Times New Roman" w:eastAsia="Times New Roman" w:hAnsi="Times New Roman"/>
          <w:sz w:val="14"/>
          <w:szCs w:val="14"/>
          <w:color w:val="auto"/>
        </w:rPr>
        <w:t>We believe customer service and consistent product delivery are the most important factors in attracting and retaining customers. Our 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38" w:lineRule="exact"/>
        <w:rPr>
          <w:rFonts w:ascii="Times New Roman" w:cs="Times New Roman" w:eastAsia="Times New Roman" w:hAnsi="Times New Roman"/>
          <w:sz w:val="14"/>
          <w:szCs w:val="14"/>
          <w:color w:val="auto"/>
        </w:rPr>
      </w:pPr>
    </w:p>
    <w:p>
      <w:pPr>
        <w:jc w:val="both"/>
        <w:ind w:left="520" w:hanging="260"/>
        <w:spacing w:after="0" w:line="261"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Manage our operations successfully through business cycles</w:t>
      </w:r>
      <w:r>
        <w:rPr>
          <w:rFonts w:ascii="Times New Roman" w:cs="Times New Roman" w:eastAsia="Times New Roman" w:hAnsi="Times New Roman"/>
          <w:sz w:val="14"/>
          <w:szCs w:val="14"/>
          <w:color w:val="auto"/>
        </w:rPr>
        <w:t>. Our Title segment operates in a cyclical industry and our ability to diversify our revenue base within our title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w:t>
      </w:r>
      <w:r>
        <w:rPr>
          <w:rFonts w:ascii="Times New Roman" w:cs="Times New Roman" w:eastAsia="Times New Roman" w:hAnsi="Times New Roman"/>
          <w:sz w:val="14"/>
          <w:szCs w:val="14"/>
          <w:i w:val="1"/>
          <w:iCs w:val="1"/>
          <w:color w:val="auto"/>
        </w:rPr>
        <w:t>Investment Policies and Investment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Portfolio</w:t>
      </w:r>
      <w:r>
        <w:rPr>
          <w:rFonts w:ascii="Times New Roman" w:cs="Times New Roman" w:eastAsia="Times New Roman" w:hAnsi="Times New Roman"/>
          <w:sz w:val="14"/>
          <w:szCs w:val="14"/>
          <w:color w:val="auto"/>
        </w:rPr>
        <w:t>.”</w:t>
      </w:r>
    </w:p>
    <w:p>
      <w:pPr>
        <w:spacing w:after="0" w:line="217" w:lineRule="exact"/>
        <w:rPr>
          <w:rFonts w:ascii="Times New Roman" w:cs="Times New Roman" w:eastAsia="Times New Roman" w:hAnsi="Times New Roman"/>
          <w:sz w:val="14"/>
          <w:szCs w:val="14"/>
          <w:color w:val="auto"/>
        </w:rPr>
      </w:pPr>
    </w:p>
    <w:p>
      <w:pPr>
        <w:jc w:val="both"/>
        <w:ind w:left="520" w:hanging="260"/>
        <w:spacing w:after="0" w:line="265"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Continue to improve our products and technology. </w:t>
      </w:r>
      <w:r>
        <w:rPr>
          <w:rFonts w:ascii="Times New Roman" w:cs="Times New Roman" w:eastAsia="Times New Roman" w:hAnsi="Times New Roman"/>
          <w:sz w:val="14"/>
          <w:szCs w:val="14"/>
          <w:color w:val="auto"/>
        </w:rPr>
        <w:t>As a national provider of real estate transaction products and services, we participate in an industry that is subject to significant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continue to improve the process of ordering title and escrow services and the delivery of our products to our customers.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left="520" w:hanging="260"/>
        <w:spacing w:after="0" w:line="265"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Maintain values supporting our strategy. </w:t>
      </w:r>
      <w:r>
        <w:rPr>
          <w:rFonts w:ascii="Times New Roman" w:cs="Times New Roman" w:eastAsia="Times New Roman" w:hAnsi="Times New Roman"/>
          <w:sz w:val="14"/>
          <w:szCs w:val="14"/>
          <w:color w:val="auto"/>
        </w:rPr>
        <w:t>We believe that our continued focus on and support of our long-established corporate culture will reinforce and support our business strategy.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42"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Effectively manage costs based on economic factors. </w:t>
      </w:r>
      <w:r>
        <w:rPr>
          <w:rFonts w:ascii="Times New Roman" w:cs="Times New Roman" w:eastAsia="Times New Roman" w:hAnsi="Times New Roman"/>
          <w:sz w:val="14"/>
          <w:szCs w:val="14"/>
          <w:color w:val="auto"/>
        </w:rPr>
        <w:t>We believe that our focus on our operating margins is essential to our continued success in the title insurance business. Regardless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Through a diversified growth strategy, our F&amp;G segment seeks to deliver consistent and increasing earnings driven by asset growth. We are positioned to accomplish these goals through the following areas of strategic focus:</w:t>
      </w:r>
    </w:p>
    <w:p>
      <w:pPr>
        <w:spacing w:after="0" w:line="27" w:lineRule="exact"/>
        <w:rPr>
          <w:sz w:val="20"/>
          <w:szCs w:val="20"/>
          <w:color w:val="auto"/>
        </w:rPr>
      </w:pPr>
    </w:p>
    <w:p>
      <w:pPr>
        <w:jc w:val="both"/>
        <w:ind w:left="520" w:hanging="260"/>
        <w:spacing w:after="0" w:line="26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Targeting large, growing markets</w:t>
      </w:r>
      <w:r>
        <w:rPr>
          <w:rFonts w:ascii="Times New Roman" w:cs="Times New Roman" w:eastAsia="Times New Roman" w:hAnsi="Times New Roman"/>
          <w:sz w:val="14"/>
          <w:szCs w:val="14"/>
          <w:color w:val="auto"/>
        </w:rPr>
        <w:t>. As a nationwide leader in the markets in which F&amp;G operates, F&amp;G is strategically positioned within large, growing markets, benefiting from powerful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demographic trends that are fueling sustainable demand for guaranteed income solutions. Our disciplined focus on core products – including indexed annuities, middle market life insurance, and pension risk transfer – will continue to drive assets under management ("AUM") growth with attractive and stable liabilities. The market for our core annuity products is substantial, driven by increasing demand for safety and certainty in retirement planning. Our life insurance products strategically target the underserved middle market, offering solutions tailored to diverse cultural communities. And as corporations continue to de-risk their pension funds, our pension risk transfer solutions provide guaranteed lifetime benefits to pension-holders. Finally, our funding agreements continue to generate strong interest from institutional investors.</w:t>
      </w:r>
    </w:p>
    <w:p>
      <w:pPr>
        <w:spacing w:after="0" w:line="35"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Evolved ecosystem and sustainable advantage. </w:t>
      </w:r>
      <w:r>
        <w:rPr>
          <w:rFonts w:ascii="Times New Roman" w:cs="Times New Roman" w:eastAsia="Times New Roman" w:hAnsi="Times New Roman"/>
          <w:sz w:val="14"/>
          <w:szCs w:val="14"/>
          <w:color w:val="auto"/>
        </w:rPr>
        <w:t>Our business model gives us a sustainable competitive advantage. Our evolved ecosystem is built on expanding relationships with key long-term distribution partners, a differentiated asset management approach powered by Blackstone's best-in-class asset origination with a proven track record and complemented by other asset managers, and strategic relationships with reinsurers that provide efficient access to substantial external capital.</w:t>
      </w:r>
    </w:p>
    <w:p>
      <w:pPr>
        <w:spacing w:after="0" w:line="3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Proven track record; well positioned for steady earnings growth and capital flexibility. </w:t>
      </w:r>
      <w:r>
        <w:rPr>
          <w:rFonts w:ascii="Times New Roman" w:cs="Times New Roman" w:eastAsia="Times New Roman" w:hAnsi="Times New Roman"/>
          <w:sz w:val="14"/>
          <w:szCs w:val="14"/>
          <w:color w:val="auto"/>
        </w:rPr>
        <w:t>We have successfully executed on our diversified growth strategy, maintained a strong capital position,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made significant progress toward the targets announced in F&amp;G's 2023 Investor Day. We are positioned to deliver steady earnings growth aligned to pricing over the long term, significant scale benefit and an increasing mix of more stable, predictable and less capital intensive fee-based sources of earnings.</w:t>
      </w:r>
    </w:p>
    <w:p>
      <w:pPr>
        <w:spacing w:after="0" w:line="4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Strategic shift to fee-based, less capital intensive for enhanced returns. </w:t>
      </w:r>
      <w:r>
        <w:rPr>
          <w:rFonts w:ascii="Times New Roman" w:cs="Times New Roman" w:eastAsia="Times New Roman" w:hAnsi="Times New Roman"/>
          <w:sz w:val="14"/>
          <w:szCs w:val="14"/>
          <w:color w:val="auto"/>
        </w:rPr>
        <w:t>F&amp;G is rapidly transforming into a more fee-based, higher margin, and less capital intensive business.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earnings contributions from fee-based flow reinsurance, middle market life insurance and owned distribution strategies, coupled with disciplined growth in our spread-based products, are expected to generate higher returns over time.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 Dispositions, Minority Owned Operating Subsidiaries and Financings</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Acquisitions have been an important part of our growth strategy and dispositions have been an important aspect of our strategy of returning value to shareholders. On an ongoing basis, with assistance from our advisors, we actively evaluate possible transactions, such as acquisitions and dispositions of business units and operating assets and business combination transactions.</w:t>
      </w:r>
    </w:p>
    <w:p>
      <w:pPr>
        <w:spacing w:after="0" w:line="1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the future, we may seek to sell certain investments or other assets to increase our liquidity. In the past, we have obtained majority and minority investments in entities and securities where we see the potential to achieve above market returns. Fundamentally, our goal is to acquire quality companies that are run by best-in-class management teams and that have attractive organic and acquired growth opportunities. We leverage our operational expertise and track record of growing industry-leading companies along with our active interaction with the acquired company's management directly or through our board of directors, to ultimately provide value for our shareholders.</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can be no assurance that any suitable opportunities will arise or that any particular transaction will be completed. We have made a number of acquisitions and dispositions over the past several years to strengthen and expand our service offerings and customer base in our various businesses, to expand into other businesses or where we otherwise saw value, and to monetize investments in assets and businesses.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Technology and Research and Development</w:t>
      </w:r>
    </w:p>
    <w:p>
      <w:pPr>
        <w:spacing w:after="0" w:line="96" w:lineRule="exact"/>
        <w:rPr>
          <w:sz w:val="20"/>
          <w:szCs w:val="20"/>
          <w:color w:val="auto"/>
        </w:rPr>
      </w:pPr>
    </w:p>
    <w:p>
      <w:pPr>
        <w:jc w:val="both"/>
        <w:ind w:firstLine="269"/>
        <w:spacing w:after="0" w:line="261" w:lineRule="auto"/>
        <w:rPr>
          <w:sz w:val="20"/>
          <w:szCs w:val="20"/>
          <w:color w:val="auto"/>
        </w:rPr>
      </w:pPr>
      <w:r>
        <w:rPr>
          <w:rFonts w:ascii="Times New Roman" w:cs="Times New Roman" w:eastAsia="Times New Roman" w:hAnsi="Times New Roman"/>
          <w:sz w:val="14"/>
          <w:szCs w:val="14"/>
          <w:color w:val="auto"/>
        </w:rPr>
        <w:t>As a national provider of real estate transaction products and services, we participate in an industry that is subject to significant regulatory requirements, 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Reserves</w:t>
      </w:r>
    </w:p>
    <w:p>
      <w:pPr>
        <w:spacing w:after="0" w:line="83" w:lineRule="exact"/>
        <w:rPr>
          <w:sz w:val="20"/>
          <w:szCs w:val="20"/>
          <w:color w:val="auto"/>
        </w:rPr>
      </w:pPr>
    </w:p>
    <w:p>
      <w:pPr>
        <w:jc w:val="both"/>
        <w:ind w:firstLine="258"/>
        <w:spacing w:after="0" w:line="290" w:lineRule="auto"/>
        <w:rPr>
          <w:sz w:val="20"/>
          <w:szCs w:val="20"/>
          <w:color w:val="auto"/>
        </w:rPr>
      </w:pPr>
      <w:r>
        <w:rPr>
          <w:rFonts w:ascii="Times New Roman" w:cs="Times New Roman" w:eastAsia="Times New Roman" w:hAnsi="Times New Roman"/>
          <w:sz w:val="14"/>
          <w:szCs w:val="14"/>
          <w:color w:val="auto"/>
        </w:rPr>
        <w:t xml:space="preserve">For information about our loss reserves, see Item 7 of Part II of this Annual Report,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Critical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Accounting Estimates</w:t>
      </w:r>
      <w:r>
        <w:rPr>
          <w:rFonts w:ascii="Times New Roman" w:cs="Times New Roman" w:eastAsia="Times New Roman" w:hAnsi="Times New Roman"/>
          <w:sz w:val="14"/>
          <w:szCs w:val="14"/>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 Insurance</w:t>
      </w:r>
    </w:p>
    <w:p>
      <w:pPr>
        <w:spacing w:after="0" w:line="72"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Market for title insurance. </w:t>
      </w:r>
      <w:r>
        <w:rPr>
          <w:rFonts w:ascii="Times New Roman" w:cs="Times New Roman" w:eastAsia="Times New Roman" w:hAnsi="Times New Roman"/>
          <w:sz w:val="14"/>
          <w:szCs w:val="14"/>
          <w:color w:val="auto"/>
        </w:rPr>
        <w:t>According to Demotech Performance of Title Insurance Companies 2025 Edition, an annual compilation of financial information from the title insurance industry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published by Demotech Inc. ("Demotech"), an independent firm, total operating income for the entire U.S. title insurance industry was approximately $17.7 billion and $16.5 billion in 2024 and 2023, respectively. The size of the industry is closely tied to various macroeconomic factors, including, but not limited to, growth in the gross domestic product, inflation, unemployment, the availability of credit, consumer confidence, interest rates, housing inventory and sales volumes, and prices for new and existing homes, as well as the volume of refinancing of previously issued mortgages.</w:t>
      </w:r>
    </w:p>
    <w:p>
      <w:pPr>
        <w:spacing w:after="0" w:line="21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U.S. title insurance industry is concentrated among a handful of industry participants. According to Demotech, the top four title insurance groups accounted for 80% of net premiums written in 2024. Approximately 40 independent title insurance companies accounted for the remaining 20% of net premiums written in 2024. Consolidation has created opportunities for increased financial and operating efficiencies for the industry’s largest participants and should continue to drive profitability and market share in the industry.</w:t>
      </w:r>
    </w:p>
    <w:p>
      <w:pPr>
        <w:spacing w:after="0" w:line="3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Title segment revenue is closely related to the level of real estate activity that includes sales, mortgage financing and mortgage refinancing. For further discussion of current trends in real estate activity in the U.S., see discussion under </w:t>
      </w:r>
      <w:r>
        <w:rPr>
          <w:rFonts w:ascii="Times New Roman" w:cs="Times New Roman" w:eastAsia="Times New Roman" w:hAnsi="Times New Roman"/>
          <w:sz w:val="14"/>
          <w:szCs w:val="14"/>
          <w:i w:val="1"/>
          <w:iCs w:val="1"/>
          <w:color w:val="auto"/>
        </w:rPr>
        <w:t>Business Trends and Conditions</w:t>
      </w:r>
      <w:r>
        <w:rPr>
          <w:rFonts w:ascii="Times New Roman" w:cs="Times New Roman" w:eastAsia="Times New Roman" w:hAnsi="Times New Roman"/>
          <w:sz w:val="14"/>
          <w:szCs w:val="14"/>
          <w:color w:val="auto"/>
        </w:rPr>
        <w:t xml:space="preserve"> included in Item 7 of Part II of this Annual Report, which is incorporated by reference into this Item 1 of Part I.</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Title Insurance Policies.  </w:t>
      </w:r>
      <w:r>
        <w:rPr>
          <w:rFonts w:ascii="Times New Roman" w:cs="Times New Roman" w:eastAsia="Times New Roman" w:hAnsi="Times New Roman"/>
          <w:sz w:val="14"/>
          <w:szCs w:val="14"/>
          <w:color w:val="auto"/>
        </w:rPr>
        <w:t>Title insurance plays a key role in the U.S. economy by insuring the secure transfer of real estate and facilitating the growth of homeownership. The products and</w:t>
      </w:r>
    </w:p>
    <w:p>
      <w:pPr>
        <w:spacing w:after="0" w:line="3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services we offer have a positive social impact on families and communities overall. For many families, their home is the single largest investment that they will make in their lifetimes. Generally, real estate buyers and mortgage lenders purchase title insurance to insure good and marketable title to real estate and priority of lien. An owner’s title insurance policy, like those we issue in connection with the closing of a real estate transaction, is the best way for property owners to protect themselves from losing their property due to unforeseen or unexpected title claims. Unlike other types of insurance, title insurance protects against past problems instead of future risk, such as the previous owner’s debt, liens, or other claims of ownership that may have been in place prior to the purchase of the property. Under our policies, we defend insureds when covered claims are filed against their interest in the property. A brief generalized description of the process of issuing a title insurance policy is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customer, typically a real estate salesperson or broker, escrow agent, attorney or lender, places an order for a title policy.</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personnel note the specifics of the title policy order and place a request with the title company or its agents for a preliminary report or commitment.</w:t>
      </w:r>
    </w:p>
    <w:p>
      <w:pPr>
        <w:spacing w:after="0" w:line="8" w:lineRule="exact"/>
        <w:rPr>
          <w:rFonts w:ascii="Times New Roman" w:cs="Times New Roman" w:eastAsia="Times New Roman" w:hAnsi="Times New Roman"/>
          <w:sz w:val="14"/>
          <w:szCs w:val="14"/>
          <w:color w:val="auto"/>
        </w:rPr>
      </w:pPr>
    </w:p>
    <w:p>
      <w:pPr>
        <w:jc w:val="both"/>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preliminary report is circulated to all the parties for satisfaction of any specific issues.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specific issues identified in the preliminary report are satisfied, an escrow agent closes the transaction in accordance with the instructions of the parties and the title company’s conditions.</w:t>
      </w: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the transaction is closed and all monies have been released, the title company issues a title insurance policy.</w:t>
      </w:r>
    </w:p>
    <w:p>
      <w:pPr>
        <w:spacing w:after="0" w:line="7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w:t>
      </w:r>
    </w:p>
    <w:p>
      <w:pPr>
        <w:spacing w:after="0" w:line="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Title insurance companies typically issue title insurance policies directly through branch offices or through affiliated title agencies, or indirectly through independent third-party agencies unaffiliated with the title insurance company. Where the policy is issued through a branch or wholly 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51" w:lineRule="exact"/>
        <w:rPr>
          <w:sz w:val="20"/>
          <w:szCs w:val="20"/>
          <w:color w:val="auto"/>
        </w:rPr>
      </w:pPr>
    </w:p>
    <w:p>
      <w:pPr>
        <w:jc w:val="both"/>
        <w:ind w:firstLine="269"/>
        <w:spacing w:after="0" w:line="264" w:lineRule="auto"/>
        <w:rPr>
          <w:sz w:val="20"/>
          <w:szCs w:val="20"/>
          <w:color w:val="auto"/>
        </w:rPr>
      </w:pPr>
      <w:r>
        <w:rPr>
          <w:rFonts w:ascii="Times New Roman" w:cs="Times New Roman" w:eastAsia="Times New Roman" w:hAnsi="Times New Roman"/>
          <w:sz w:val="14"/>
          <w:szCs w:val="14"/>
          <w:color w:val="auto"/>
        </w:rPr>
        <w:t>Prior to issuing policies, title insurers and their agents attempt to reduce the risk of future claim losses by accurately performing title searches and examinations. A title insurance company’s predominant expense relates to such searches and examinations, the preparation of preliminary title reports, policies or commitments, facilitation and closing of real estate transactions and the maintenance of title plants. Title plants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missing heirs of the property, closing-related errors, etc.</w:t>
      </w:r>
    </w:p>
    <w:p>
      <w:pPr>
        <w:spacing w:after="0" w:line="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Direct and Agency Operations. </w:t>
      </w:r>
      <w:r>
        <w:rPr>
          <w:rFonts w:ascii="Times New Roman" w:cs="Times New Roman" w:eastAsia="Times New Roman" w:hAnsi="Times New Roman"/>
          <w:sz w:val="14"/>
          <w:szCs w:val="14"/>
          <w:color w:val="auto"/>
        </w:rPr>
        <w:t>We provide title insurance services through our direct operations and independent title insurance agents who issue title policies on behalf of our title 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companies. Our title insurance companies determine the terms and conditions upon which they will insure title to the real property according to our underwriting standards, policies and procedures.</w:t>
      </w:r>
    </w:p>
    <w:p>
      <w:pPr>
        <w:spacing w:after="0" w:line="2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Direct Operations. </w:t>
      </w:r>
      <w:r>
        <w:rPr>
          <w:rFonts w:ascii="Times New Roman" w:cs="Times New Roman" w:eastAsia="Times New Roman" w:hAnsi="Times New Roman"/>
          <w:sz w:val="14"/>
          <w:szCs w:val="14"/>
          <w:color w:val="auto"/>
        </w:rPr>
        <w:t>Our direct operations include both the operations of our underwriters and those of affiliated agencies. In our direct operations, the title insurer issues the title insurance policy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retains the entire premium paid in connection with the transaction. Our direct operations provide the following benefits:</w:t>
      </w:r>
    </w:p>
    <w:p>
      <w:pPr>
        <w:spacing w:after="0" w:line="16"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margins because we retain the entire premium from each transaction instead of paying a commission to an independent agent;</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continuity of service levels to a broad range of customers;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sources of income through escrow and closing services.</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approximately 1,300 offices throughout the U.S. primarily providing title insurance. We continuously monitor the number of direct offices to ensure that it remains in line with our strategy and the current economic environment. Our commercial real estate title insurance business is operated primarily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43"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Agency Operations. </w:t>
      </w:r>
      <w:r>
        <w:rPr>
          <w:rFonts w:ascii="Times New Roman" w:cs="Times New Roman" w:eastAsia="Times New Roman" w:hAnsi="Times New Roman"/>
          <w:sz w:val="14"/>
          <w:szCs w:val="14"/>
          <w:color w:val="auto"/>
        </w:rPr>
        <w:t>In our agency operations, the search and examination function is performed by an independent agent or the agent may purchase the search product from us. In either case,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agent is responsible to ensure that the search and examination is completed. The agent thus retains the majority of the title premium collected, with the balance remitted to the title underwriter as compensation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2025, we transacted business with approximately 5,100 agents.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Fees and Premiums. </w:t>
      </w:r>
      <w:r>
        <w:rPr>
          <w:rFonts w:ascii="Times New Roman" w:cs="Times New Roman" w:eastAsia="Times New Roman" w:hAnsi="Times New Roman"/>
          <w:sz w:val="14"/>
          <w:szCs w:val="14"/>
          <w:color w:val="auto"/>
        </w:rPr>
        <w:t>One method of analyzing our business is to examine the level of premiums generated by direct and agency operations.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our title insurance premiums generated by direct and agency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96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0"/>
        </w:trPr>
        <w:tc>
          <w:tcPr>
            <w:tcW w:w="4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6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gridSpan w:val="5"/>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43.2 %</w:t>
            </w:r>
          </w:p>
        </w:tc>
      </w:tr>
      <w:tr>
        <w:trPr>
          <w:trHeight w:val="153"/>
        </w:trPr>
        <w:tc>
          <w:tcPr>
            <w:tcW w:w="4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w:t>
            </w:r>
          </w:p>
        </w:tc>
        <w:tc>
          <w:tcPr>
            <w:tcW w:w="2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57.3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26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56.8</w:t>
            </w:r>
          </w:p>
        </w:tc>
      </w:tr>
      <w:tr>
        <w:trPr>
          <w:trHeight w:val="181"/>
        </w:trPr>
        <w:tc>
          <w:tcPr>
            <w:tcW w:w="44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title insurance premiums</w:t>
            </w: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premium for title insurance is due in full when the real estate transaction is closed. We recognize title insurance premium revenues from direct operations upon the closing of the transaction.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4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Escrow, Title-Related and Other Fees. </w:t>
      </w:r>
      <w:r>
        <w:rPr>
          <w:rFonts w:ascii="Times New Roman" w:cs="Times New Roman" w:eastAsia="Times New Roman" w:hAnsi="Times New Roman"/>
          <w:sz w:val="14"/>
          <w:szCs w:val="14"/>
          <w:color w:val="auto"/>
        </w:rPr>
        <w:t>In addition to fees for underwriting title insurance policies, we derive a significant amount of our revenues from escrow and other title-related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closing and trust activities, trustee sales guarantees, recordings and reconveyances, and home warranty products. The escrow and other services provided by us include all of those typically required in connection with residential and commercial real estate purchases and refinance activities. Escrow, title-related and other fees included in our Title segment represented approximately 28.0%, 28.5%, and 30.1% of total Title segment revenues in 2025, 2024, and 2023, respectively.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We market and distribute our title and escrow products and services to customers in the residential and commercial market sectors of the real estate industry through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3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Claims. </w:t>
      </w:r>
      <w:r>
        <w:rPr>
          <w:rFonts w:ascii="Times New Roman" w:cs="Times New Roman" w:eastAsia="Times New Roman" w:hAnsi="Times New Roman"/>
          <w:sz w:val="14"/>
          <w:szCs w:val="14"/>
          <w:color w:val="auto"/>
        </w:rPr>
        <w:t>An important part of our business is responsible claims management. We employ a large staff of attorneys in our claims department to handle title and escrow claims. Our claims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processing centers are located in Omaha, Nebraska and Jacksonville, Florida. In-house claims counsel are also located in other parts of the country.</w:t>
      </w:r>
    </w:p>
    <w:p>
      <w:pPr>
        <w:spacing w:after="0" w:line="2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4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3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time-to-time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Reinsurance and Coinsurance. </w:t>
      </w:r>
      <w:r>
        <w:rPr>
          <w:rFonts w:ascii="Times New Roman" w:cs="Times New Roman" w:eastAsia="Times New Roman" w:hAnsi="Times New Roman"/>
          <w:sz w:val="14"/>
          <w:szCs w:val="14"/>
          <w:color w:val="auto"/>
        </w:rPr>
        <w:t>Within our Title segment, we limit our maximum loss exposure by reinsuring risks with other insurers under excess of loss and case-by-case (“facultative”)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exceeds state statutory or self-imposed limits. Excess of loss reinsurance coverage protects us from a large loss from a single loss occurrence. The Company currently secures excess of loss reinsurance coverage through four contracts. The first excess of loss reinsurance contract provides a $75 million limit of coverage from a single loss occurrence for losses in excess of a $25 million retention per single loss occurrence. The second excess of loss reinsurance contract ("Second XOL Contract") provides an additional $300 million limit of coverage from a single loss occurrence, with the Company contractually required to retain a minimum 5% co-participation. As a practical matter, the Company has retained 10% co-participation on the Second XOL Contract. The third excess of loss reinsurance contract ("Third XOL Contract") provides an additional $80 million limit of coverage from a single loss occurrence, with the Company retaining a minimum 10% co-participation. The fourth excess of loss reinsurance contract ("Fourth XOL Contract") provides an additional $220 million limit of coverage from a single loss occurrence, with the Company retaining a minimum 10% co-participation. Subject to the Company’s retention and co-participation on the Second, Third and Fourth XOL Contracts, the maximum coverage from a single loss occurrence provided under our excess of loss reinsurance coverage is $615 million. Each XOL Contract provides for one reinstatement of its respective limit, so the aggregate limit of coverage is $1.2 billion.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In addition to reinsurance, we carry errors and omissions insurance and fidelity bond coverage, each of which can provide protection to us in the event of certain types of losses that can occur in our businesses.</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policy is to be selective in choosing our reinsurers, seeking only those companies that we consider to be financially stable and adequately capitalized. In an effort to minimize exposure to the insolvency of a reinsurer, we periodically review the financial condition of our reinsurers.</w:t>
      </w:r>
    </w:p>
    <w:p>
      <w:pPr>
        <w:spacing w:after="0" w:line="1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earn a small amount of additional income, which is reflected in our direct premiums, by assuming reinsurance for certain risks of other title insurers.</w:t>
      </w:r>
    </w:p>
    <w:p>
      <w:pPr>
        <w:spacing w:after="0" w:line="8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Competition. </w:t>
      </w:r>
      <w:r>
        <w:rPr>
          <w:rFonts w:ascii="Times New Roman" w:cs="Times New Roman" w:eastAsia="Times New Roman" w:hAnsi="Times New Roman"/>
          <w:sz w:val="14"/>
          <w:szCs w:val="14"/>
          <w:color w:val="auto"/>
        </w:rPr>
        <w:t>Competition in the title insurance industry is based primarily on service and price. The number and size of competing companies varies in the different geographic areas in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conduct our business. In our principal markets, competitors include other major title underwriters such as First American Financial Corporation, Old Republic International Corporation, Stewart Information Services Corporation, Westcor Land Title Insurance Company, Title Resources Guaranty Company, and WFG National Title Insurance Company, as well as numerous regional title insurance companies, underwritten title companies and independent agency operations at the regional and local level.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regional companies and any new entrants with alternative products could affect our business operations and financial condition.</w:t>
      </w:r>
    </w:p>
    <w:p>
      <w:pPr>
        <w:spacing w:after="0" w:line="36"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Regulation. </w:t>
      </w:r>
      <w:r>
        <w:rPr>
          <w:rFonts w:ascii="Times New Roman" w:cs="Times New Roman" w:eastAsia="Times New Roman" w:hAnsi="Times New Roman"/>
          <w:sz w:val="14"/>
          <w:szCs w:val="14"/>
          <w:color w:val="auto"/>
        </w:rPr>
        <w:t>Our insurance subsidiaries, including title insurers, underwritten title companies and insurance agencies, are subject to extensive regulation under applicable state laws. Each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and accounting and financial practices, establishing reserves and capital and surplus in regard to policyholder requirements defining suitable investments for reserves and capital and surplus, approving rate schedules, etc. The state regulation process for rate changes ranges from states that set rates, to states where individual companies or associations of companies prepare rate filings that are submitted for approval, to a few states in which rate changes do not need to be filed for approval.</w:t>
      </w:r>
    </w:p>
    <w:p>
      <w:pPr>
        <w:spacing w:after="0" w:line="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29" w:lineRule="exact"/>
        <w:rPr>
          <w:sz w:val="20"/>
          <w:szCs w:val="20"/>
          <w:color w:val="auto"/>
        </w:rPr>
      </w:pPr>
    </w:p>
    <w:p>
      <w:pPr>
        <w:jc w:val="both"/>
        <w:ind w:firstLine="258"/>
        <w:spacing w:after="0" w:line="261" w:lineRule="auto"/>
        <w:rPr>
          <w:sz w:val="20"/>
          <w:szCs w:val="20"/>
          <w:color w:val="auto"/>
        </w:rPr>
      </w:pPr>
      <w:r>
        <w:rPr>
          <w:rFonts w:ascii="Times New Roman" w:cs="Times New Roman" w:eastAsia="Times New Roman" w:hAnsi="Times New Roman"/>
          <w:sz w:val="14"/>
          <w:szCs w:val="14"/>
          <w:color w:val="auto"/>
        </w:rPr>
        <w:t>Pursuant to statutory accounting requirements of the various states in which our title insurers are domiciled, these insurers must defer a portion of 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2025, the combined statutory unearned premium reserve required and reported for our title insurers was $1,619 million. In addition to statutory unearned premium reserves and reserves for known claims, each of our insurers maintains surplus funds for policyholder protection and business operations.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to state-level regulation, our title insurance and certain other real estate businesses are subject to regulation by federal agencies, including the Consumer Financial Protection Bureau (“CFPB”). The CFPB was established under the Dodd-Frank Wall Street Reform and Consumer Protection Act of 2010 ("Dodd-Frank"), which also included regulation over financial services and other lending related businesses. The CFPB has broad authority to regulate, among other areas, the mortgage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real estate markets in matters pertaining to consumers. This authority includes the enforcement of the Truth-in-Lending Act and the Real Estate Settlement Procedures Act formerly placed with the Department of Housing and Urban Development.</w:t>
      </w:r>
    </w:p>
    <w:p>
      <w:pPr>
        <w:spacing w:after="0" w:line="29" w:lineRule="exact"/>
        <w:rPr>
          <w:sz w:val="20"/>
          <w:szCs w:val="20"/>
          <w:color w:val="auto"/>
        </w:rPr>
      </w:pPr>
    </w:p>
    <w:p>
      <w:pPr>
        <w:jc w:val="both"/>
        <w:ind w:firstLine="269"/>
        <w:spacing w:after="0" w:line="259" w:lineRule="auto"/>
        <w:rPr>
          <w:sz w:val="20"/>
          <w:szCs w:val="20"/>
          <w:color w:val="auto"/>
        </w:rPr>
      </w:pPr>
      <w:r>
        <w:rPr>
          <w:rFonts w:ascii="Times New Roman" w:cs="Times New Roman" w:eastAsia="Times New Roman" w:hAnsi="Times New Roman"/>
          <w:sz w:val="14"/>
          <w:szCs w:val="14"/>
          <w:color w:val="auto"/>
        </w:rPr>
        <w:t>As a holding company with no significant business operations of our own, we depend on dividends or other distributions from our subsidiaries as the 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0"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the insurer’s statutory surplus as of the immediately prior year end; or</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statutory net income of the insurer during the prior calendar year.</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laws and regulations of some jurisdictions also prohibit an insurer from declaring or paying a dividend except out of its earned surplus or require the insurer to obtain prior regulatory approval. During 2026, our directly owned title insurers can pay dividends or make distributions to us of approximately $437 million;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combined statutory capital and surplus of our title insurers was approximately $1,273 million and $1,223 million as of December 31, 2025, and 2024, respectively. The combined statutory earnings of our title insurers were $488 million, $587 million, and $503 million for the years ended December 31, 2025, 2024, and 2023, respectively.</w:t>
      </w:r>
    </w:p>
    <w:p>
      <w:pPr>
        <w:spacing w:after="0" w:line="1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29" w:lineRule="exact"/>
        <w:rPr>
          <w:sz w:val="20"/>
          <w:szCs w:val="20"/>
          <w:color w:val="auto"/>
        </w:rPr>
      </w:pPr>
    </w:p>
    <w:p>
      <w:pPr>
        <w:jc w:val="both"/>
        <w:ind w:firstLine="269"/>
        <w:spacing w:after="0" w:line="280" w:lineRule="auto"/>
        <w:rPr>
          <w:sz w:val="20"/>
          <w:szCs w:val="20"/>
          <w:color w:val="auto"/>
        </w:rPr>
      </w:pPr>
      <w:r>
        <w:rPr>
          <w:rFonts w:ascii="Times New Roman" w:cs="Times New Roman" w:eastAsia="Times New Roman" w:hAnsi="Times New Roman"/>
          <w:sz w:val="14"/>
          <w:szCs w:val="14"/>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title insurers has complied with the minimum statutory requirements as of December 31, 2025.</w:t>
      </w:r>
    </w:p>
    <w:p>
      <w:pPr>
        <w:spacing w:after="0" w:line="208"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2025.</w:t>
      </w:r>
    </w:p>
    <w:p>
      <w:pPr>
        <w:spacing w:after="0" w:line="30" w:lineRule="exact"/>
        <w:rPr>
          <w:sz w:val="20"/>
          <w:szCs w:val="20"/>
          <w:color w:val="auto"/>
        </w:rPr>
      </w:pPr>
    </w:p>
    <w:p>
      <w:pPr>
        <w:jc w:val="both"/>
        <w:ind w:firstLine="269"/>
        <w:spacing w:after="0" w:line="261" w:lineRule="auto"/>
        <w:rPr>
          <w:sz w:val="20"/>
          <w:szCs w:val="20"/>
          <w:color w:val="auto"/>
        </w:rPr>
      </w:pPr>
      <w:r>
        <w:rPr>
          <w:rFonts w:ascii="Times New Roman" w:cs="Times New Roman" w:eastAsia="Times New Roman" w:hAnsi="Times New Roman"/>
          <w:sz w:val="14"/>
          <w:szCs w:val="14"/>
          <w:color w:val="auto"/>
        </w:rPr>
        <w:t xml:space="preserve">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Various governmental entities are studying the title insurance product, market, pricing, and business practices, and potential regulatory and legislative changes, which may materially affect our business and operations. Occasionally, we are assessed fines for violations of regulations or other matters or enter into settlements with such authorities that may require us to pay fines or claims or take other actions. For further discussion, see Item 3. </w:t>
      </w:r>
      <w:r>
        <w:rPr>
          <w:rFonts w:ascii="Times New Roman" w:cs="Times New Roman" w:eastAsia="Times New Roman" w:hAnsi="Times New Roman"/>
          <w:sz w:val="14"/>
          <w:szCs w:val="14"/>
          <w:i w:val="1"/>
          <w:iCs w:val="1"/>
          <w:color w:val="auto"/>
        </w:rPr>
        <w:t>Legal Proceedings</w:t>
      </w:r>
      <w:r>
        <w:rPr>
          <w:rFonts w:ascii="Times New Roman" w:cs="Times New Roman" w:eastAsia="Times New Roman" w:hAnsi="Times New Roman"/>
          <w:sz w:val="14"/>
          <w:szCs w:val="14"/>
          <w:color w:val="auto"/>
        </w:rPr>
        <w:t>.</w:t>
      </w:r>
    </w:p>
    <w:p>
      <w:pPr>
        <w:spacing w:after="0" w:line="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factors such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1"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The NAIC has adopted an instruction requiring an annual certification of reserve adequacy by a qualified actuary. Because all the states in which our title insurers are domiciled require adherence to NAIC filing procedures, each such insurer, unless it qualifies for an exemption, must file an actuarial opinion with respect to the adequacy of its reserves.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further information associated with regulation, refer to Item 1A. </w:t>
      </w:r>
      <w:r>
        <w:rPr>
          <w:rFonts w:ascii="Times New Roman" w:cs="Times New Roman" w:eastAsia="Times New Roman" w:hAnsi="Times New Roman"/>
          <w:sz w:val="14"/>
          <w:szCs w:val="14"/>
          <w:i w:val="1"/>
          <w:iCs w:val="1"/>
          <w:color w:val="auto"/>
        </w:rPr>
        <w:t>Risk Factors.</w:t>
      </w:r>
    </w:p>
    <w:p>
      <w:pPr>
        <w:spacing w:after="0" w:line="8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Title Insurance Ratings. </w:t>
      </w:r>
      <w:r>
        <w:rPr>
          <w:rFonts w:ascii="Times New Roman" w:cs="Times New Roman" w:eastAsia="Times New Roman" w:hAnsi="Times New Roman"/>
          <w:sz w:val="14"/>
          <w:szCs w:val="14"/>
          <w:color w:val="auto"/>
        </w:rPr>
        <w:t>Our title insurance underwriters are regularly assigned ratings by independent agencies designed to indicate their financial condition and/or claims paying ability.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rating agencies determine ratings by quantitatively and qualitatively analyzing financial data and other information. Our title subsidiaries include Alamo Title, Chicago Title, Commonwealth Land Title, FNTIC and National Title of New York. Standard &amp; Poor’s Ratings Group (“S&amp;P”) and Moody’s Investors Service (“Moody’s”) provide ratings for the FNF family of companies as a whole as follows:</w:t>
      </w:r>
    </w:p>
    <w:p>
      <w:pPr>
        <w:spacing w:after="0" w:line="61" w:lineRule="exact"/>
        <w:rPr>
          <w:sz w:val="20"/>
          <w:szCs w:val="20"/>
          <w:color w:val="auto"/>
        </w:rPr>
      </w:pPr>
    </w:p>
    <w:p>
      <w:pPr>
        <w:ind w:left="9300"/>
        <w:spacing w:after="0"/>
        <w:tabs>
          <w:tab w:leader="none" w:pos="10420" w:val="left"/>
        </w:tabs>
        <w:rPr>
          <w:sz w:val="20"/>
          <w:szCs w:val="20"/>
          <w:color w:val="auto"/>
        </w:rPr>
      </w:pPr>
      <w:r>
        <w:rPr>
          <w:rFonts w:ascii="Times New Roman" w:cs="Times New Roman" w:eastAsia="Times New Roman" w:hAnsi="Times New Roman"/>
          <w:sz w:val="11"/>
          <w:szCs w:val="11"/>
          <w:b w:val="1"/>
          <w:bCs w:val="1"/>
          <w:color w:val="auto"/>
        </w:rPr>
        <w:t>S&amp;P</w:t>
      </w:r>
      <w:r>
        <w:rPr>
          <w:sz w:val="20"/>
          <w:szCs w:val="20"/>
          <w:color w:val="auto"/>
        </w:rPr>
        <w:tab/>
      </w:r>
      <w:r>
        <w:rPr>
          <w:rFonts w:ascii="Times New Roman" w:cs="Times New Roman" w:eastAsia="Times New Roman" w:hAnsi="Times New Roman"/>
          <w:sz w:val="11"/>
          <w:szCs w:val="11"/>
          <w:b w:val="1"/>
          <w:bCs w:val="1"/>
          <w:color w:val="auto"/>
        </w:rPr>
        <w:t>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26035</wp:posOffset>
            </wp:positionV>
            <wp:extent cx="140144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01445" cy="6985"/>
                    </a:xfrm>
                    <a:prstGeom prst="rect">
                      <a:avLst/>
                    </a:prstGeom>
                    <a:noFill/>
                  </pic:spPr>
                </pic:pic>
              </a:graphicData>
            </a:graphic>
          </wp:anchor>
        </w:drawing>
      </w:r>
    </w:p>
    <w:p>
      <w:pPr>
        <w:spacing w:after="0" w:line="28" w:lineRule="exact"/>
        <w:rPr>
          <w:sz w:val="20"/>
          <w:szCs w:val="20"/>
          <w:color w:val="auto"/>
        </w:rPr>
      </w:pPr>
    </w:p>
    <w:p>
      <w:pPr>
        <w:ind w:left="240"/>
        <w:spacing w:after="0"/>
        <w:tabs>
          <w:tab w:leader="none" w:pos="9360" w:val="left"/>
          <w:tab w:leader="none" w:pos="10540" w:val="left"/>
        </w:tabs>
        <w:rPr>
          <w:sz w:val="20"/>
          <w:szCs w:val="20"/>
          <w:color w:val="auto"/>
        </w:rPr>
      </w:pPr>
      <w:r>
        <w:rPr>
          <w:rFonts w:ascii="Times New Roman" w:cs="Times New Roman" w:eastAsia="Times New Roman" w:hAnsi="Times New Roman"/>
          <w:sz w:val="14"/>
          <w:szCs w:val="14"/>
          <w:color w:val="auto"/>
        </w:rPr>
        <w:t>FNF family of companies</w:t>
      </w:r>
      <w:r>
        <w:rPr>
          <w:sz w:val="20"/>
          <w:szCs w:val="20"/>
          <w:color w:val="auto"/>
        </w:rPr>
        <w:tab/>
      </w:r>
      <w:r>
        <w:rPr>
          <w:rFonts w:ascii="Times New Roman" w:cs="Times New Roman" w:eastAsia="Times New Roman" w:hAnsi="Times New Roman"/>
          <w:sz w:val="14"/>
          <w:szCs w:val="14"/>
          <w:color w:val="auto"/>
        </w:rPr>
        <w:t>A</w:t>
      </w:r>
      <w:r>
        <w:rPr>
          <w:sz w:val="20"/>
          <w:szCs w:val="20"/>
          <w:color w:val="auto"/>
        </w:rPr>
        <w:tab/>
      </w:r>
      <w:r>
        <w:rPr>
          <w:rFonts w:ascii="Times New Roman" w:cs="Times New Roman" w:eastAsia="Times New Roman" w:hAnsi="Times New Roman"/>
          <w:sz w:val="13"/>
          <w:szCs w:val="13"/>
          <w:color w:val="auto"/>
        </w:rPr>
        <w:t>A2</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relative position of each of our ratings among the ratings scale assigned by each rating agency is as follows:</w:t>
      </w:r>
    </w:p>
    <w:p>
      <w:pPr>
        <w:spacing w:after="0" w:line="72" w:lineRule="exact"/>
        <w:rPr>
          <w:sz w:val="20"/>
          <w:szCs w:val="20"/>
          <w:color w:val="auto"/>
        </w:rPr>
      </w:pPr>
    </w:p>
    <w:p>
      <w:pPr>
        <w:ind w:left="520" w:hanging="260"/>
        <w:spacing w:after="0" w:line="26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S&amp;P "A" rating is the third highest rating of eleven ratings for S&amp;P. According to S&amp;P, an insurer rated “A” has strong capacity to meet its financial commitments but is somewhat more susceptible to adverse effects of changes in circumstances and economic conditions than insurers with "AAA" or "AA" ratings.</w:t>
      </w:r>
    </w:p>
    <w:p>
      <w:pPr>
        <w:ind w:left="5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Moody's "A2" rating is the third highest rating of nine ratings for Moody's. Moody's states that companies rated “A2” are judged to be upper-medium grade and are subject to low credit risk.</w:t>
      </w:r>
    </w:p>
    <w:p>
      <w:pPr>
        <w:spacing w:after="0" w:line="2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Demotech provides financial strength/stability ratings for each of our title insurance underwriters individually, as follows:</w:t>
      </w:r>
    </w:p>
    <w:p>
      <w:pPr>
        <w:spacing w:after="0" w:line="119" w:lineRule="exact"/>
        <w:rPr>
          <w:sz w:val="20"/>
          <w:szCs w:val="20"/>
          <w:color w:val="auto"/>
        </w:rPr>
      </w:pPr>
    </w:p>
    <w:tbl>
      <w:tblPr>
        <w:tblLayout w:type="fixed"/>
        <w:tblInd w:w="260" w:type="dxa"/>
        <w:tblCellMar>
          <w:top w:w="0" w:type="dxa"/>
          <w:left w:w="0" w:type="dxa"/>
          <w:bottom w:w="0" w:type="dxa"/>
          <w:right w:w="0" w:type="dxa"/>
        </w:tblCellMar>
      </w:tblPr>
      <w:tr>
        <w:trPr>
          <w:trHeight w:val="15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Alamo Title</w:t>
            </w:r>
          </w:p>
        </w:tc>
        <w:tc>
          <w:tcPr>
            <w:tcW w:w="502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53"/>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Chicago Title</w:t>
            </w:r>
          </w:p>
        </w:tc>
        <w:tc>
          <w:tcPr>
            <w:tcW w:w="5020" w:type="dxa"/>
            <w:vAlign w:val="bottom"/>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6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Commonwealth Land Title</w:t>
            </w:r>
          </w:p>
        </w:tc>
        <w:tc>
          <w:tcPr>
            <w:tcW w:w="502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53"/>
        </w:trPr>
        <w:tc>
          <w:tcPr>
            <w:tcW w:w="5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FNTIC</w:t>
            </w:r>
          </w:p>
        </w:tc>
        <w:tc>
          <w:tcPr>
            <w:tcW w:w="5020" w:type="dxa"/>
            <w:vAlign w:val="bottom"/>
          </w:tcPr>
          <w:p>
            <w:pPr>
              <w:ind w:left="4280"/>
              <w:spacing w:after="0"/>
              <w:rPr>
                <w:sz w:val="20"/>
                <w:szCs w:val="20"/>
                <w:color w:val="auto"/>
              </w:rPr>
            </w:pPr>
            <w:r>
              <w:rPr>
                <w:rFonts w:ascii="Times New Roman" w:cs="Times New Roman" w:eastAsia="Times New Roman" w:hAnsi="Times New Roman"/>
                <w:sz w:val="11"/>
                <w:szCs w:val="11"/>
                <w:color w:val="auto"/>
              </w:rPr>
              <w:t>A'</w:t>
            </w:r>
          </w:p>
        </w:tc>
      </w:tr>
      <w:tr>
        <w:trPr>
          <w:trHeight w:val="16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National Title of New York</w:t>
            </w:r>
          </w:p>
        </w:tc>
        <w:tc>
          <w:tcPr>
            <w:tcW w:w="5020" w:type="dxa"/>
            <w:vAlign w:val="bottom"/>
            <w:shd w:val="clear" w:color="auto" w:fill="CCEEFF"/>
          </w:tcPr>
          <w:p>
            <w:pPr>
              <w:ind w:left="4280"/>
              <w:spacing w:after="0"/>
              <w:rPr>
                <w:sz w:val="20"/>
                <w:szCs w:val="20"/>
                <w:color w:val="auto"/>
              </w:rPr>
            </w:pPr>
            <w:r>
              <w:rPr>
                <w:rFonts w:ascii="Times New Roman" w:cs="Times New Roman" w:eastAsia="Times New Roman" w:hAnsi="Times New Roman"/>
                <w:sz w:val="11"/>
                <w:szCs w:val="11"/>
                <w:color w:val="auto"/>
              </w:rPr>
              <w:t>A'</w:t>
            </w:r>
          </w:p>
        </w:tc>
      </w:tr>
    </w:tbl>
    <w:p>
      <w:pPr>
        <w:spacing w:after="0" w:line="123"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Demotech states that its ratings of A" and A' reflect its opinion that the insurer possesses unsurpassed ability to maintain liquidity of invested assets, quality reinsurance, acceptable financial leverage and realistic pricing while simultaneously establishing loss and loss adjustment expense reserves at reasonable levels. The A'' and A' ratings are the two highest ratings of Demotech's six ratings.</w:t>
      </w:r>
    </w:p>
    <w:p>
      <w:pPr>
        <w:spacing w:after="0" w:line="4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ratings of S&amp;P, Moody’s, and Demotech described above are not designed to be, and do not serve as, measures of protection or valuation offered to investors. These financial strength ratings should not be relied on with respect to making an investment in our securities.</w:t>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further information associated with ratings, refer to Item 1A. </w:t>
      </w:r>
      <w:r>
        <w:rPr>
          <w:rFonts w:ascii="Times New Roman" w:cs="Times New Roman" w:eastAsia="Times New Roman" w:hAnsi="Times New Roman"/>
          <w:sz w:val="14"/>
          <w:szCs w:val="14"/>
          <w:i w:val="1"/>
          <w:iCs w:val="1"/>
          <w:color w:val="auto"/>
        </w:rPr>
        <w:t>Risk Factors.</w:t>
      </w:r>
    </w:p>
    <w:p>
      <w:pPr>
        <w:spacing w:after="0" w:line="83" w:lineRule="exact"/>
        <w:rPr>
          <w:sz w:val="20"/>
          <w:szCs w:val="20"/>
          <w:color w:val="auto"/>
        </w:rPr>
      </w:pPr>
    </w:p>
    <w:p>
      <w:pPr>
        <w:jc w:val="both"/>
        <w:ind w:firstLine="25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Investment Policies and Investment Portfolio. </w:t>
      </w:r>
      <w:r>
        <w:rPr>
          <w:rFonts w:ascii="Times New Roman" w:cs="Times New Roman" w:eastAsia="Times New Roman" w:hAnsi="Times New Roman"/>
          <w:sz w:val="14"/>
          <w:szCs w:val="14"/>
          <w:color w:val="auto"/>
        </w:rPr>
        <w:t>Within our Title segment, our investment policy is designed to maximize total return through investment income and capital appreciation consistent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moderate risk of 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4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carrying amount of total investments within our Title segment, which approximates the fair value, excluding investments in unconsolidated affiliates, was approximately $3.5 billion and $3.3 billion, respectively.</w:t>
      </w:r>
    </w:p>
    <w:p>
      <w:pPr>
        <w:spacing w:after="0" w:line="18" w:lineRule="exact"/>
        <w:rPr>
          <w:sz w:val="20"/>
          <w:szCs w:val="20"/>
          <w:color w:val="auto"/>
        </w:rPr>
      </w:pPr>
    </w:p>
    <w:p>
      <w:pPr>
        <w:jc w:val="both"/>
        <w:ind w:firstLine="258"/>
        <w:spacing w:after="0" w:line="287" w:lineRule="auto"/>
        <w:rPr>
          <w:sz w:val="20"/>
          <w:szCs w:val="20"/>
          <w:color w:val="auto"/>
        </w:rPr>
      </w:pPr>
      <w:r>
        <w:rPr>
          <w:rFonts w:ascii="Times New Roman" w:cs="Times New Roman" w:eastAsia="Times New Roman" w:hAnsi="Times New Roman"/>
          <w:sz w:val="14"/>
          <w:szCs w:val="14"/>
          <w:color w:val="auto"/>
        </w:rPr>
        <w:t>We purchase investment grade fixed maturity securities, selected non-investment grade fixed maturity securities, preferred stock and equity securities. The securities in our portfolio are subject to economic conditions and normal market risks and uncertainties.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the investment ratings of our fixed maturity securities and preferred stock portfolio at December 31, 2025 and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54"/>
        </w:trPr>
        <w:tc>
          <w:tcPr>
            <w:tcW w:w="2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45"/>
        </w:trPr>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of</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 of</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4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Rating (1)</w:t>
            </w: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8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0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2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Aaa/AAA</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33.8 %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33.5 %</w:t>
            </w:r>
          </w:p>
        </w:tc>
      </w:tr>
      <w:tr>
        <w:trPr>
          <w:trHeight w:val="153"/>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Aa/AA</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0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706</w:t>
            </w:r>
          </w:p>
        </w:tc>
        <w:tc>
          <w:tcPr>
            <w:tcW w:w="80" w:type="dxa"/>
            <w:vAlign w:val="bottom"/>
          </w:tcPr>
          <w:p>
            <w:pPr>
              <w:spacing w:after="0"/>
              <w:rPr>
                <w:sz w:val="13"/>
                <w:szCs w:val="13"/>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8.1</w:t>
            </w:r>
          </w:p>
        </w:tc>
      </w:tr>
      <w:tr>
        <w:trPr>
          <w:trHeight w:val="16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23.4</w:t>
            </w:r>
          </w:p>
        </w:tc>
      </w:tr>
      <w:tr>
        <w:trPr>
          <w:trHeight w:val="153"/>
        </w:trPr>
        <w:tc>
          <w:tcPr>
            <w:tcW w:w="2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Baa/BBB</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w:t>
            </w:r>
          </w:p>
        </w:tc>
        <w:tc>
          <w:tcPr>
            <w:tcW w:w="10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497</w:t>
            </w:r>
          </w:p>
        </w:tc>
        <w:tc>
          <w:tcPr>
            <w:tcW w:w="80" w:type="dxa"/>
            <w:vAlign w:val="bottom"/>
          </w:tcPr>
          <w:p>
            <w:pPr>
              <w:spacing w:after="0"/>
              <w:rPr>
                <w:sz w:val="13"/>
                <w:szCs w:val="13"/>
                <w:color w:val="auto"/>
              </w:rPr>
            </w:pPr>
          </w:p>
        </w:tc>
        <w:tc>
          <w:tcPr>
            <w:tcW w:w="10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tcPr>
          <w:p>
            <w:pPr>
              <w:spacing w:after="0"/>
              <w:rPr>
                <w:sz w:val="13"/>
                <w:szCs w:val="13"/>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537</w:t>
            </w:r>
          </w:p>
        </w:tc>
        <w:tc>
          <w:tcPr>
            <w:tcW w:w="10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25.5</w:t>
            </w:r>
          </w:p>
        </w:tc>
      </w:tr>
      <w:tr>
        <w:trPr>
          <w:trHeight w:val="165"/>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Lower</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7.4</w:t>
            </w:r>
          </w:p>
        </w:tc>
      </w:tr>
      <w:tr>
        <w:trPr>
          <w:trHeight w:val="153"/>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(2)</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2.1</w:t>
            </w:r>
          </w:p>
        </w:tc>
      </w:tr>
      <w:tr>
        <w:trPr>
          <w:trHeight w:val="175"/>
        </w:trPr>
        <w:tc>
          <w:tcPr>
            <w:tcW w:w="24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2,059</w:t>
            </w:r>
          </w:p>
        </w:tc>
        <w:tc>
          <w:tcPr>
            <w:tcW w:w="1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2,059</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2,154</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2,107</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00" w:hanging="24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Ratings as assigned by Moody’s, or S&amp;P, if a Moody's rating is unavailable.</w:t>
      </w:r>
    </w:p>
    <w:p>
      <w:pPr>
        <w:spacing w:after="0" w:line="72"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is composed of unrated securities.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certain information regarding contractual maturities of our fixed maturity securities as of December 31, 2025 and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0" w:type="dxa"/>
            <w:vAlign w:val="bottom"/>
            <w:tcBorders>
              <w:bottom w:val="single" w:sz="8" w:color="auto"/>
            </w:tcBorders>
          </w:tcPr>
          <w:p>
            <w:pPr>
              <w:spacing w:after="0"/>
              <w:rPr>
                <w:sz w:val="13"/>
                <w:szCs w:val="13"/>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10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r>
      <w:tr>
        <w:trPr>
          <w:trHeight w:val="16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One year or less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289</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15.5 %</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1,045</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1,040</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55.9</w:t>
            </w:r>
          </w:p>
        </w:tc>
      </w:tr>
      <w:tr>
        <w:trPr>
          <w:trHeight w:val="16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413</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22.4</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ten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3.1</w:t>
            </w:r>
          </w:p>
        </w:tc>
      </w:tr>
      <w:tr>
        <w:trPr>
          <w:trHeight w:val="15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Mortgage-backed/asset-backed securities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w:t>
            </w:r>
          </w:p>
        </w:tc>
      </w:tr>
      <w:tr>
        <w:trPr>
          <w:trHeight w:val="150"/>
        </w:trPr>
        <w:tc>
          <w:tcPr>
            <w:tcW w:w="686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1,871</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1,862</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08"/>
        </w:trPr>
        <w:tc>
          <w:tcPr>
            <w:tcW w:w="6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Borders>
              <w:bottom w:val="single" w:sz="8" w:color="auto"/>
            </w:tcBorders>
          </w:tcPr>
          <w:p>
            <w:pPr>
              <w:spacing w:after="0"/>
              <w:rPr>
                <w:sz w:val="24"/>
                <w:szCs w:val="24"/>
                <w:color w:val="auto"/>
              </w:rPr>
            </w:pPr>
          </w:p>
        </w:tc>
      </w:tr>
      <w:tr>
        <w:trPr>
          <w:trHeight w:val="149"/>
        </w:trPr>
        <w:tc>
          <w:tcPr>
            <w:tcW w:w="6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Amortized</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1000" w:type="dxa"/>
            <w:vAlign w:val="bottom"/>
          </w:tcPr>
          <w:p>
            <w:pPr>
              <w:ind w:left="380"/>
              <w:spacing w:after="0"/>
              <w:rPr>
                <w:sz w:val="20"/>
                <w:szCs w:val="20"/>
                <w:color w:val="auto"/>
              </w:rPr>
            </w:pPr>
            <w:r>
              <w:rPr>
                <w:rFonts w:ascii="Times New Roman" w:cs="Times New Roman" w:eastAsia="Times New Roman" w:hAnsi="Times New Roman"/>
                <w:sz w:val="11"/>
                <w:szCs w:val="11"/>
                <w:b w:val="1"/>
                <w:bCs w:val="1"/>
                <w:color w:val="auto"/>
              </w:rPr>
              <w:t>% of</w:t>
            </w:r>
          </w:p>
        </w:tc>
      </w:tr>
      <w:tr>
        <w:trPr>
          <w:trHeight w:val="160"/>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10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6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0" w:type="dxa"/>
            <w:vAlign w:val="bottom"/>
          </w:tcPr>
          <w:p>
            <w:pPr>
              <w:spacing w:after="0"/>
              <w:rPr>
                <w:sz w:val="13"/>
                <w:szCs w:val="13"/>
                <w:color w:val="auto"/>
              </w:rPr>
            </w:pPr>
          </w:p>
        </w:tc>
      </w:tr>
      <w:tr>
        <w:trPr>
          <w:trHeight w:val="164"/>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One year or less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22.7 %</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one year through five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982</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955</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50.2</w:t>
            </w:r>
          </w:p>
        </w:tc>
      </w:tr>
      <w:tr>
        <w:trPr>
          <w:trHeight w:val="16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After five years through ten years</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381</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370</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19.5</w:t>
            </w:r>
          </w:p>
        </w:tc>
      </w:tr>
      <w:tr>
        <w:trPr>
          <w:trHeight w:val="153"/>
        </w:trPr>
        <w:tc>
          <w:tcPr>
            <w:tcW w:w="68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After ten years</w:t>
            </w: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w:t>
            </w:r>
          </w:p>
        </w:tc>
      </w:tr>
      <w:tr>
        <w:trPr>
          <w:trHeight w:val="15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Mortgage-backed/asset-backed securities</w:t>
            </w:r>
          </w:p>
        </w:tc>
        <w:tc>
          <w:tcPr>
            <w:tcW w:w="1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3.5</w:t>
            </w:r>
          </w:p>
        </w:tc>
      </w:tr>
      <w:tr>
        <w:trPr>
          <w:trHeight w:val="150"/>
        </w:trPr>
        <w:tc>
          <w:tcPr>
            <w:tcW w:w="6860" w:type="dxa"/>
            <w:vAlign w:val="bottom"/>
          </w:tcPr>
          <w:p>
            <w:pPr>
              <w:spacing w:after="0"/>
              <w:rPr>
                <w:sz w:val="13"/>
                <w:szCs w:val="13"/>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1,952</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1,901</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and 2024, we held $288 million and $166 million, respectively, in investments that are accounted for using the equity method of accounting.</w:t>
      </w:r>
    </w:p>
    <w:p>
      <w:pPr>
        <w:spacing w:after="0" w:line="72" w:lineRule="exact"/>
        <w:rPr>
          <w:sz w:val="20"/>
          <w:szCs w:val="20"/>
          <w:color w:val="auto"/>
        </w:rPr>
      </w:pPr>
    </w:p>
    <w:p>
      <w:pPr>
        <w:ind w:firstLine="258"/>
        <w:spacing w:after="0" w:line="287" w:lineRule="auto"/>
        <w:rPr>
          <w:sz w:val="20"/>
          <w:szCs w:val="20"/>
          <w:color w:val="auto"/>
        </w:rPr>
      </w:pPr>
      <w:r>
        <w:rPr>
          <w:rFonts w:ascii="Times New Roman" w:cs="Times New Roman" w:eastAsia="Times New Roman" w:hAnsi="Times New Roman"/>
          <w:sz w:val="14"/>
          <w:szCs w:val="14"/>
          <w:color w:val="auto"/>
        </w:rPr>
        <w:t>As of December 31, 2025 and 2024, other long-term investments $131 million and $126 million, respectively. Other long-term investments include other investments carried at fair value and company-owned life insurance policies carried at cash surrender value.</w:t>
      </w:r>
    </w:p>
    <w:p>
      <w:pPr>
        <w:spacing w:after="0" w:line="29" w:lineRule="exact"/>
        <w:rPr>
          <w:sz w:val="20"/>
          <w:szCs w:val="20"/>
          <w:color w:val="auto"/>
        </w:rPr>
      </w:pPr>
    </w:p>
    <w:p>
      <w:pPr>
        <w:ind w:firstLine="269"/>
        <w:spacing w:after="0" w:line="287" w:lineRule="auto"/>
        <w:rPr>
          <w:sz w:val="20"/>
          <w:szCs w:val="20"/>
          <w:color w:val="auto"/>
        </w:rPr>
      </w:pPr>
      <w:r>
        <w:rPr>
          <w:rFonts w:ascii="Times New Roman" w:cs="Times New Roman" w:eastAsia="Times New Roman" w:hAnsi="Times New Roman"/>
          <w:sz w:val="14"/>
          <w:szCs w:val="14"/>
          <w:color w:val="auto"/>
        </w:rPr>
        <w:t>Short-term investments, which consist primarily of commercial paper and money market instruments that have an original maturity of one year or less, are carried at amortized cost, which approximates fair value. As of December 31, 2025 and 2024, short-term investments were approximately $876 million and $640 million, respectively.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investment results for the years ended December 31, 2025, 2024, and 2023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5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investment income (1)</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401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405</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396</w:t>
            </w:r>
          </w:p>
        </w:tc>
      </w:tr>
      <w:tr>
        <w:trPr>
          <w:trHeight w:val="15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Average cash and invested assets (2)</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9,309</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8,298</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9,271</w:t>
            </w:r>
          </w:p>
        </w:tc>
      </w:tr>
      <w:tr>
        <w:trPr>
          <w:trHeight w:val="16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Effective return on average cash and invested assets</w:t>
            </w:r>
          </w:p>
        </w:tc>
        <w:tc>
          <w:tcPr>
            <w:tcW w:w="74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4.3 %</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4.9 %</w:t>
            </w:r>
          </w:p>
        </w:tc>
        <w:tc>
          <w:tcPr>
            <w:tcW w:w="3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4.3 %</w:t>
            </w:r>
          </w:p>
        </w:tc>
      </w:tr>
    </w:tbl>
    <w:p>
      <w:pPr>
        <w:spacing w:after="0" w:line="134" w:lineRule="exact"/>
        <w:rPr>
          <w:sz w:val="20"/>
          <w:szCs w:val="20"/>
          <w:color w:val="auto"/>
        </w:rPr>
      </w:pPr>
    </w:p>
    <w:p>
      <w:pPr>
        <w:jc w:val="both"/>
        <w:ind w:left="520" w:hanging="260"/>
        <w:spacing w:after="0" w:line="264"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Net investment income as reported in our Consolidated Statements of Earnings has been adjusted in the presentation above to provide the tax equivalent yield on tax exempt investments. Net investment income includes fees earned by holding customer funds in escrow (off-balance sheet) during facilitation of tax-deferred property exchanges. For the years ended December 31, 2025, 2024, and 2023, fees earned during facilitation of tax-deferred property exchanges were $175 million, $180 million, and $202 million, respectively. See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our Consolidated Financial Statements included in Item 8 of Part II of this Annual Report for a detail of our interest income.</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2024, and 2023, average invested assets include off-balance sheet customer funds used in the facilitation of tax-deferred property exchanges of $4,641 million, $3,613, million and $4,436 million,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13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Through F&amp;G, and its wholly-owned insurance subsidiaries, we market a broad portfolio of annuities, including fixed indexed annuities (“FIAs”), registered index-linked annuities (“RILAs”), (together referred to as “indexed annuities”), multi-year guarantee annuities (“MYGAs”) as well as pension risk transfer (“PRT”) solutions, indexed universal life (“IUL”) insurance and institutional funding agreements.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more than 60 years, F&amp;G has helped middle-income Americans prepare for retirement and for their loved ones' financial security. We partner with leading IMOs and their agents to serve the needs of the middle-income market and develop competitive products to align with their evolving needs. During 2020, F&amp;G entered the bank and broker dealer distribution channels to connect with even more customers. As of December 31, 2025, F&amp;G has approximately 778,000 policyholders who count on the safety and protection features our fixed annuity and life insurance products provide. We also serve approximately 145,000 plan participants who will receive their pension payments from F&amp;G through our pension risk transfer solutions.</w:t>
      </w:r>
    </w:p>
    <w:p>
      <w:pPr>
        <w:spacing w:after="0" w:line="3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Through the efforts of F&amp;G's over 1,100 employees, most of whom are located in Des Moines, Iowa, and through a network of approximately 300 IMOs and 26 leading banks and independent broker dealers, representing approximately 187,000 independent agents and advisers, we offer various types of fixed annuities and life insurance products. Our fixed annuities serve as a retirement and savings tool for which our customers rely on principal protection and predictable income streams. In addition, our IUL insurance products provide our customers with a complementary product that allows them to build on their savings and provide a payment to their designated beneficiaries upon the policyholder’s death. Our most popular products are indexed annuities that tie contractual returns to specific market indices, such as the S&amp;P 500 Composite Stock Price Index (the "S&amp;P 500 Index"). Our customers value our indexed annuities, which provide a portion of the gains of an underlying market index, while also providing principal protection. We believe this mix of “some upside but limited downside” fills the need for middle-income Americans who must save for retirement but who want to limit the risk of decline in their savings.</w:t>
      </w:r>
    </w:p>
    <w:p>
      <w:pPr>
        <w:spacing w:after="0" w:line="4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the year ended December 31, 2025, FIAs generated approximately 46% of our total gross sales. The remaining 54% of sales were primarily generated from fixed rate annuities, 26%, PRT sales, 15%, funding agreements, 12%, and IUL, 1%. We invest the proceeds primarily in fixed income securities. We also use options and futures that hedge the index credit of our FIA and IUL liabilities by replicating the market index returns to our policyholders. We invest in options on indices such as the S&amp;P 500 Index. Most of our products allow for active management to achieve targeted lifetime returns. In addition, our annuity contracts generally either cannot be surrendered or include surrender charges that discourage early redemptions.</w:t>
      </w:r>
    </w:p>
    <w:p>
      <w:pPr>
        <w:spacing w:after="0" w:line="32"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Annuities. </w:t>
      </w:r>
      <w:r>
        <w:rPr>
          <w:rFonts w:ascii="Times New Roman" w:cs="Times New Roman" w:eastAsia="Times New Roman" w:hAnsi="Times New Roman"/>
          <w:sz w:val="14"/>
          <w:szCs w:val="14"/>
          <w:color w:val="auto"/>
        </w:rPr>
        <w:t>Through F&amp;G’s insurance subsidiaries, we issue a broad portfolio of deferred annuities (indexed annuities and fixed rate annuities), immediate annuities, and PRT solutions. A deferred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pays principal and earnings in equal payments over some period of time.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Deferred Annuities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FIAs</w:t>
      </w:r>
      <w:r>
        <w:rPr>
          <w:rFonts w:ascii="Times New Roman" w:cs="Times New Roman" w:eastAsia="Times New Roman" w:hAnsi="Times New Roman"/>
          <w:sz w:val="14"/>
          <w:szCs w:val="14"/>
          <w:color w:val="auto"/>
        </w:rPr>
        <w:t>. Our FIAs allow contract owners the possibility of earning returns linked to the performance of a specified market index, such as the S&amp;P 500 Index, while providing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principal protection. The contract owners typically make a single deposit into our deferred annuities. The contracts include a provision for a minimum guaranteed surrender value calculated in accordance with applicable law. A market index tracks the performance of a specific group of stocks representing a particular segment of the market, or in some cases an entire market. For example, the S&amp;P 500 Composite Stock Price Index is an index of 500 stocks intended to be representative of a broad segment of the market. All FIA products allow policyholders to allocate funds once a year among several different crediting strategies, including one or more index-based strategies and a traditional fixed rate strategy. Surrender charges apply for early withdrawal, typically for seven to fourteen years after purchase.</w:t>
      </w:r>
    </w:p>
    <w:p>
      <w:pPr>
        <w:spacing w:after="0" w:line="59"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purchase derivatives consisting predominantly of over-the-counter options and, to a lesser degree, futures contracts (specifically for FIA contracts) on the equity indices underlying the applicable policy such as the S&amp;P 500 Index. These derivatives are used to fund the index credits due to policyholders under the FIA and IUL contracts based upon policyholders’ contract elections. The down-side risk to F&amp;G is limited to the cost of the options because if the value of the options decreases there is no index credit. The cost of the hedge is included in the pricing of the product and can be reset on an annual basis for each policy based on market conditions. The majority of all such equity options are one-year options purchased to match the funding requirements underlying the FIA/IUL contracts. On the anniversary dates of the FIA/IUL contracts, the market index used to compute the annual index credit under the contracts is reset. At such time, we purchase new equity options to fund the next index credit. We manage the cost of these purchases through the terms of our FIA/IUL contracts, which permit us to change caps or participation rates, subject to certain guaranteed minimums on each contract’s anniversary date. The change in the fair value of the options and futures contracts is generally designed to offset the equity market related change in the fair value of the FIA/IUL contract’s related reserve liability. The options and futures contracts are marked to fair value with the change in fair value included as a component of “Recognized gains and losses, net” in our Consolidated Statements of Operations. The change in fair value of the options and futures contracts includes the gains and losses recognized at the expiration of the instrument’s term or upon early termination and the changes in fair value of open positions. Generally accepted accounting principles (“GAAP”) accounting of the reserve liability for products with embedded derivatives such as FIA creates additional volatility beyond the accounting for the options and the futures.</w:t>
      </w:r>
    </w:p>
    <w:p>
      <w:pPr>
        <w:spacing w:after="0" w:line="63"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contractholder account value of a FIA contract is equal to the sum of deposits paid, premium bonuses, if any, (described below), and index credits based on the change in the relevant market index (subject to a cap, spread and/or a participation rate) less any fees for riders and any withdrawals taken to-date. Caps (a maximum rate that may be credited) generally range from 1% to 10% when measured annually and 1% to 3% when measured monthly, spreads (a credited rate determined by deducting a specific rate from the index return) generally range from 1% to 3% when measured annually, and participation rates (a credited rate equal to a percentage of index return) generally range from 50% to 250% of the performance of the applicable market index. The cap, spread and participation rate can typically be reset annually and in some instances every two to five years. Certain riders provide a variety of benefits, such as the ability to increase their cap, lifetime income or additional liquidity for a set fee. As this fee is fixed, the contract holder may lose principal if the index credits received do not exceed the amount of such fee.</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Approximately 39% of the FIA sales for the year ended December 31, 2025, involved premium bonuses or vesting bonuses. Premium bonuses increase the initial annuity deposit by a specified rate of 2%. The vesting bonuses, which range from 3% to 17%, increase the initial annuity deposit liability but are subject to adjustment for unvested amounts in the event of surrender by the policyholder prior to the end of the vesting period. We made compensating adjustments in the commission paid to the agent or the surrender charges on the policy to offset the premium bonus.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Approximately 77% of our FIA contracts were issued with a guaranteed minimum withdrawal benefit (“GMWB”) rider for the year ended December 31, 2025. With this rider, a contract owner can elect to receive guaranteed payments for life from the FIA contract without requiring the owner to annuitize the FIA contract value. The amount of the income benefit available is determined by the growth in the policy’s benefit base value as defined in the FIA contract rider. Typically, this accumulates for 10 years based on a guaranteed rate of 3% to 10%. Guaranteed withdrawal payments may be stopped and restarted at the election of the contract owner. Some of the FIA contract riders that we offer include an additional death benefit or an increase in benefit amounts under chronic health conditions. Rider fees range from 0% to 1%. Unlike a variable annuity, policyholder values do not decline with market movements.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Deferred Annuities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Fixed Rate Annuities</w:t>
      </w:r>
      <w:r>
        <w:rPr>
          <w:rFonts w:ascii="Times New Roman" w:cs="Times New Roman" w:eastAsia="Times New Roman" w:hAnsi="Times New Roman"/>
          <w:sz w:val="14"/>
          <w:szCs w:val="14"/>
          <w:color w:val="auto"/>
        </w:rPr>
        <w:t>. Fixed rate annuities are typically single deposit contracts and include annual reset and multi-year rate guaranteed policies. Fixed rate annual reset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annuities issued by us have an annual interest rate (the “crediting rate”) that is guaranteed for the first policy year. After the first policy year, we have the discretionary ability to change the crediting rate once annually to any rate at or above a guaranteed minimum rate. MYGAs are similar to fixed rate annual reset annuities except that the initial crediting rate is guaranteed for a specified number of years before it may be changed at our discretion. As of December 31, 2025, crediting rates on outstanding single-year guaranteed annuities generally ranged from 2% to 6% and MYGA ranged from 1% to 6%. The average crediting rate on all outstanding fixed rate annuities as of December 31, 2025, was 5%.</w:t>
      </w:r>
    </w:p>
    <w:p>
      <w:pPr>
        <w:spacing w:after="0" w:line="5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Deferred Annuities - Registered Index-Linked Annuities </w:t>
      </w:r>
      <w:r>
        <w:rPr>
          <w:rFonts w:ascii="Times New Roman" w:cs="Times New Roman" w:eastAsia="Times New Roman" w:hAnsi="Times New Roman"/>
          <w:sz w:val="14"/>
          <w:szCs w:val="14"/>
          <w:color w:val="auto"/>
        </w:rPr>
        <w:t>(“RILA”). In early 2024, we entered the RILA markets. RILAs are similar to indexed annuities in offering the policyholder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opportunity for tax-deferred growth based in part on the performance of a market index. Compared to an indexed annuity, RILAs have the potential for higher returns but also have the potential for risk of loss to principal and related earnings. RILAs provide the ability for the policyholder to participate in the positive performance of certain market indices during a term, limited by a cap or adjusted for a participation rate. Negative performance of the market indices during a term can result in negative policyholder returns, with downside protection typically provided in the form of either a “buffer” or a “floor” to limit the policyholder’s exposure to market loss. A "buffer" is protection from negative exposure up to a certain percentage, typically 10% or 20%. A "floor" is protection from negative exposure less than a stated percentage (i.e., the policyholder risks exposure of loss up to the "floor", but is protected against any loss in excess of this amount).</w:t>
      </w:r>
    </w:p>
    <w:p>
      <w:pPr>
        <w:spacing w:after="0" w:line="57"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Withdrawal Options for Deferred Annuities</w:t>
      </w:r>
      <w:r>
        <w:rPr>
          <w:rFonts w:ascii="Times New Roman" w:cs="Times New Roman" w:eastAsia="Times New Roman" w:hAnsi="Times New Roman"/>
          <w:sz w:val="14"/>
          <w:szCs w:val="14"/>
          <w:color w:val="auto"/>
        </w:rPr>
        <w:t>. After the first year following the issuance of a deferred annuity policy, holders of deferred annuities are typically permitted penalty-free withdrawals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 to a contractually specified amount. The penalty-free withdrawal amount is typically 10% of the prior year account value for indexed annuities and is typically up to accumulated interest for fixed rate annuities, subject to certain restrictions. Withdrawals in excess of allowable penalty-free amounts are assessed a surrender charge if such withdrawals are made during the penalty period of the deferred annuity policy. The penalty period typically ranges from seven to fourteen years for indexed annuities and three to ten years for fixed rate annuities. This surrender charge initially ranges from 7% to 15% of the contract value for indexed annuities and is 8% of the contract value for fixed rate annuities. The charge generally decreases by approximately one to two percentage points per year during the penalty period. The average surrender charge was 7% for our indexed annuities and 7% for our fixed rate annuities as of December 31, 2025. A market value adjustment (“MVA”) will also apply in most states to any withdrawal that incurs a surrender charge, subject to certain exceptions. The MVA is based on a formula that accounts for changes in interest rates since contract issuance. Generally, if interest rates have risen, the MVA will decrease surrender value, whereas if rates have fallen, it will increase surrender value. As of December 31, 2025, approximately 83% of our business included an MVA feature.</w:t>
      </w:r>
    </w:p>
    <w:p>
      <w:pPr>
        <w:spacing w:after="0" w:line="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deferred annuity account values and surrender charge protection as of December 31, 2025: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SURRENDER CHARGE EXPIRATION BY YEAR</w:t>
            </w:r>
          </w:p>
        </w:tc>
        <w:tc>
          <w:tcPr>
            <w:tcW w:w="100" w:type="dxa"/>
            <w:vAlign w:val="bottom"/>
          </w:tcPr>
          <w:p>
            <w:pPr>
              <w:spacing w:after="0"/>
              <w:rPr>
                <w:sz w:val="11"/>
                <w:szCs w:val="11"/>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Fixed Rate and Indexed</w:t>
            </w:r>
          </w:p>
        </w:tc>
        <w:tc>
          <w:tcPr>
            <w:tcW w:w="152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Percent of Total</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Surrender</w:t>
            </w:r>
          </w:p>
        </w:tc>
        <w:tc>
          <w:tcPr>
            <w:tcW w:w="0" w:type="dxa"/>
            <w:vAlign w:val="bottom"/>
          </w:tcPr>
          <w:p>
            <w:pPr>
              <w:spacing w:after="0"/>
              <w:rPr>
                <w:sz w:val="1"/>
                <w:szCs w:val="1"/>
                <w:color w:val="auto"/>
              </w:rPr>
            </w:pPr>
          </w:p>
        </w:tc>
      </w:tr>
      <w:tr>
        <w:trPr>
          <w:trHeight w:val="153"/>
        </w:trPr>
        <w:tc>
          <w:tcPr>
            <w:tcW w:w="6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Annuities Account Value</w:t>
            </w:r>
          </w:p>
        </w:tc>
        <w:tc>
          <w:tcPr>
            <w:tcW w:w="1520" w:type="dxa"/>
            <w:vAlign w:val="bottom"/>
            <w:vMerge w:val="continue"/>
          </w:tcPr>
          <w:p>
            <w:pPr>
              <w:spacing w:after="0"/>
              <w:rPr>
                <w:sz w:val="13"/>
                <w:szCs w:val="13"/>
                <w:color w:val="auto"/>
              </w:rPr>
            </w:pPr>
          </w:p>
        </w:tc>
        <w:tc>
          <w:tcPr>
            <w:tcW w:w="15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Charge</w:t>
            </w:r>
          </w:p>
        </w:tc>
        <w:tc>
          <w:tcPr>
            <w:tcW w:w="0" w:type="dxa"/>
            <w:vAlign w:val="bottom"/>
          </w:tcPr>
          <w:p>
            <w:pPr>
              <w:spacing w:after="0"/>
              <w:rPr>
                <w:sz w:val="1"/>
                <w:szCs w:val="1"/>
                <w:color w:val="auto"/>
              </w:rPr>
            </w:pPr>
          </w:p>
        </w:tc>
      </w:tr>
      <w:tr>
        <w:trPr>
          <w:trHeight w:val="154"/>
        </w:trPr>
        <w:tc>
          <w:tcPr>
            <w:tcW w:w="6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5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Out of surrender charge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2,637</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2,166</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0" w:type="dxa"/>
            <w:vAlign w:val="bottom"/>
          </w:tcPr>
          <w:p>
            <w:pPr>
              <w:spacing w:after="0"/>
              <w:rPr>
                <w:sz w:val="1"/>
                <w:szCs w:val="1"/>
                <w:color w:val="auto"/>
              </w:rPr>
            </w:pPr>
          </w:p>
        </w:tc>
      </w:tr>
      <w:tr>
        <w:trPr>
          <w:trHeight w:val="153"/>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2026-2028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8,774</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0" w:type="dxa"/>
            <w:vAlign w:val="bottom"/>
          </w:tcPr>
          <w:p>
            <w:pPr>
              <w:spacing w:after="0"/>
              <w:rPr>
                <w:sz w:val="1"/>
                <w:szCs w:val="1"/>
                <w:color w:val="auto"/>
              </w:rPr>
            </w:pPr>
          </w:p>
        </w:tc>
      </w:tr>
      <w:tr>
        <w:trPr>
          <w:trHeight w:val="16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2029-2030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6,367</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153"/>
        </w:trPr>
        <w:tc>
          <w:tcPr>
            <w:tcW w:w="6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2031-2032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6,763</w:t>
            </w:r>
          </w:p>
        </w:tc>
        <w:tc>
          <w:tcPr>
            <w:tcW w:w="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0" w:type="dxa"/>
            <w:vAlign w:val="bottom"/>
          </w:tcPr>
          <w:p>
            <w:pPr>
              <w:spacing w:after="0"/>
              <w:rPr>
                <w:sz w:val="1"/>
                <w:szCs w:val="1"/>
                <w:color w:val="auto"/>
              </w:rPr>
            </w:pPr>
          </w:p>
        </w:tc>
      </w:tr>
      <w:tr>
        <w:trPr>
          <w:trHeight w:val="15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1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9,402</w:t>
            </w:r>
          </w:p>
        </w:tc>
        <w:tc>
          <w:tcPr>
            <w:tcW w:w="8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11 %</w:t>
            </w:r>
          </w:p>
        </w:tc>
        <w:tc>
          <w:tcPr>
            <w:tcW w:w="0" w:type="dxa"/>
            <w:vAlign w:val="bottom"/>
          </w:tcPr>
          <w:p>
            <w:pPr>
              <w:spacing w:after="0"/>
              <w:rPr>
                <w:sz w:val="1"/>
                <w:szCs w:val="1"/>
                <w:color w:val="auto"/>
              </w:rPr>
            </w:pPr>
          </w:p>
        </w:tc>
      </w:tr>
      <w:tr>
        <w:trPr>
          <w:trHeight w:val="156"/>
        </w:trPr>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36,109</w:t>
            </w:r>
          </w:p>
        </w:tc>
        <w:tc>
          <w:tcPr>
            <w:tcW w:w="80" w:type="dxa"/>
            <w:vAlign w:val="bottom"/>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Subsequent to the penalty period, the policyholder may elect to take the proceeds of the surrender either in a single payment or in a series of payments over the life of the policy or for a fixed number of years (or a combination of these payment options). In addition to the foregoing withdrawal rights, policyholders may also elect to have additional withdrawal benefits by purchasing a GMWB.</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Single Premium Immediate Annuities</w:t>
      </w:r>
      <w:r>
        <w:rPr>
          <w:rFonts w:ascii="Times New Roman" w:cs="Times New Roman" w:eastAsia="Times New Roman" w:hAnsi="Times New Roman"/>
          <w:sz w:val="14"/>
          <w:szCs w:val="14"/>
          <w:color w:val="auto"/>
        </w:rPr>
        <w:t>. We have previously sold single premium immediate annuities (“SPIAs”), which provide a series of periodic payments for a fixed period of time or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life of the contract, according to the policyholder’s choice at the time of issue. The amounts, frequency and length of time of the payments are fixed at the outset of the annuity contract. SPIAs are often purchased by persons at or near retirement age who desire a steady stream of payments over a future period of years. Existing policyholders may elect to surrender their contract and use the proceeds to purchase a supplementary contract, which functions as a SPIA.</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Life Insurance. </w:t>
      </w:r>
      <w:r>
        <w:rPr>
          <w:rFonts w:ascii="Times New Roman" w:cs="Times New Roman" w:eastAsia="Times New Roman" w:hAnsi="Times New Roman"/>
          <w:sz w:val="14"/>
          <w:szCs w:val="14"/>
          <w:color w:val="auto"/>
        </w:rPr>
        <w:t>We currently offer IUL insurance policies and have previously sold universal life, term and whole life insurance products. Holders of universal life insurance policies may make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periodic payments over the life of the contract and earn returns on their policies, which are credited to the policyholder’s cash value account. The insurer periodically deducts its expenses and the cost of life insurance protection from the cash value account. The balance of the cash value account is credited interest at a fixed rate or returns based on the performance of a market index, or both, at the option of the policyholder, using a method similar to that described above for indexed annuities. In addition to the annual renewal premium, we are diversifying earnings through strong growth in our middle market life insurance business.</w:t>
      </w:r>
    </w:p>
    <w:p>
      <w:pPr>
        <w:spacing w:after="0" w:line="5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Funding Agreements. </w:t>
      </w:r>
      <w:r>
        <w:rPr>
          <w:rFonts w:ascii="Times New Roman" w:cs="Times New Roman" w:eastAsia="Times New Roman" w:hAnsi="Times New Roman"/>
          <w:sz w:val="14"/>
          <w:szCs w:val="14"/>
          <w:color w:val="auto"/>
        </w:rPr>
        <w:t>As defined by the Iowa Insurance Division (the "IID"), a funding agreement is an agreement for an insurer to accept and accumulate funds and to make one or more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payments at future dates in amounts that are not based on mortality or morbidity contingencies of the person to whom the funding agreement is issued. In essence, funding agreement providers are agreeing to a defined stream of future payments in exchange for a single upfront premium. This type of business is sometimes referred to as spread lending, as funding agreement providers invest upfront premiums with the intent to earn an investment spread on the funds prior to making agreed upon maturity and interest payments. The structure of the payments can take several forms but are commonly a fixed or variable interest payment with a single maturity principal re-payment.</w:t>
      </w:r>
    </w:p>
    <w:p>
      <w:pPr>
        <w:spacing w:after="0" w:line="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currently utilizes two forms of funding agreement offerings. The first is through the issuance of collateralized funding agreements with the FHLB. This enables spread-based income without longevity or mortality exposure given the certainty in liability profile. Funding agreements through the FHLB are flexible in their format and the ability to issue during broad windows, as long as sufficient eligible collateral has been deposited with the bank. F&amp;G and its predecessors have been entering into funding agreements with the FHLB since at least 2004.</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June 2021, we established a FABN Program, which is a medium term note program under which funding agreements are issued to a special-purpose trust that issues marketable notes. The notes are underwritten and marketed by major investment banks’ broker-dealer operations and are sold to institutional investors. These FABN offerings are more limited regarding timing of issuance, but do not require collateralization as with the FHLB. The maximum aggregate principal amount permitted to be outstanding at any one time under the FABN Program is currently $5.0 billion. As of December 31, 2025, we had approximately $3.3 billion outstanding under the FABN Program with an additional $750 million issued in January 2026.</w:t>
      </w:r>
    </w:p>
    <w:p>
      <w:pPr>
        <w:spacing w:after="0" w:line="5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Pension Risk Transfer. </w:t>
      </w:r>
      <w:r>
        <w:rPr>
          <w:rFonts w:ascii="Times New Roman" w:cs="Times New Roman" w:eastAsia="Times New Roman" w:hAnsi="Times New Roman"/>
          <w:sz w:val="14"/>
          <w:szCs w:val="14"/>
          <w:color w:val="auto"/>
        </w:rPr>
        <w:t>In July 2021, we entered the PRT market. A PRT occurs when a defined-benefit pension provider seeks to remove some or all of its obligation to pay guaranteed retirement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or post-retirement benefits to plan participants. There are four major types of PRT strategies: longevity reinsurance, buy-in, buy-out, and paying in lump sums. We are currently active in plan buy-outs, where we have a direct, irrevocable commitment to each covered participant to make the specified annuity payments based upon the terms of the pension plan. Plan buy-out transactions fully and permanently transfer all investment, mortality, and administrative risk, associated with covered benefits, from the pension plan sponsor to the insurance provider.</w:t>
      </w:r>
    </w:p>
    <w:p>
      <w:pPr>
        <w:spacing w:after="0" w:line="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PRT products are comparable to income annuities, as we generally receive a single, upfront premium in exchange for paying a guaranteed stream of future income payments, which are typically fixed in nature, but may vary in duration based on participant mortality experience. These products primarily create earnings through spread income. In each transaction FGL Insurance and/or FGL NY Insurance issues a group annuity contract to discharge pension plan liabilities from a pension plan sponsor, either through a separate account or through a general account guarantee. Certificate holders covered under a group annuity contract have a guaranteed benefit from the insurance company.</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entered the PRT solutions business by building a team of experienced professionals, then working with brokers and institutional consultants for distribution. As of December 31, 2025, we had completed PRT transactions that represented pension obligations of $9.1 billion.</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Reinsurance philosophy/arrangements. </w:t>
      </w:r>
      <w:r>
        <w:rPr>
          <w:rFonts w:ascii="Times New Roman" w:cs="Times New Roman" w:eastAsia="Times New Roman" w:hAnsi="Times New Roman"/>
          <w:sz w:val="14"/>
          <w:szCs w:val="14"/>
          <w:color w:val="auto"/>
        </w:rPr>
        <w:t>Within our F&amp;G segment, we cede insurance to other insurance companies. We use reinsurance to diversify risks and earnings, to manage loss exposures,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enhance our capital position, and to manage new business volume. The effects of certain reinsurance agreements are not accounted for as reinsurance as they do not reinsure insurance contracts, or they do not transfer the risks of the reinsured policies.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instances where we are the ceding company, we pay a premium to a reinsurer in exchange for the reinsurer assuming a portion of our liabilities under the policies we issued and collect expense allowances in return for our administration of the ceded policies. Use of reinsurance does not discharge our liability as the ceding company because we remain directly liable to our policyholders and are required to pay the full amount of our policy obligations in the event that our reinsurers fail to satisfy their obligations. We collect reimbursement from our reinsurers when we pay claims on policies that are reinsured.</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monitor the credit risk related to the ability of our reinsurers to honor their obligations under various agreements. To minimize the risk of credit loss on such contracts, we generally diversify our exposures among many reinsurers and limit the amount of exposure to each based on financial strength ratings, which are reviewed annually. We are able to further manage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risk with various forms of collateral or collateral arrangements, including secured trusts, funds withheld arrangements and irrevocable letters of credit.</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Please refer to Note N F&amp;G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xml:space="preserve"> to our Consolidated Financial Statements included in Part II - Item 8 of this Annual Report on Form 10-K for further discussion on reinsurance, reinsurance recoverables for our largest reinsurers and credit risk and counterparty risk.</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7A. Quantitative and Qualitative Disclosures About Market Risk” for further discussion on credit risk and counterparty risk.</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“Item 1A. Risk Factors” for further discussion of credit risk related to reinsurance agreements. A description of significant ceded reinsurance transactions appears below.</w:t>
      </w:r>
    </w:p>
    <w:p>
      <w:pPr>
        <w:spacing w:after="0" w:line="92"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Wilton Reinsurance Transaction. </w:t>
      </w:r>
      <w:r>
        <w:rPr>
          <w:rFonts w:ascii="Times New Roman" w:cs="Times New Roman" w:eastAsia="Times New Roman" w:hAnsi="Times New Roman"/>
          <w:sz w:val="14"/>
          <w:szCs w:val="14"/>
          <w:color w:val="auto"/>
        </w:rPr>
        <w:t>Almost all of the life insurance policies in force issued before March 1, 2010, except for the return of premium benefits on term life insurance products,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 reinsurance arrangement with Wilton Reassurance Company (“Wilton Re”). Pursuant to the agreed upon terms, Wilton Re purchased through a 100% quota share reinsurance agreement certain FGL Insurance life insurance policies that are subject to redundant reserves, reported on a statutory basis, under Regulation XXX and Guideline AXXX, as well as another block of FGL Insurance’s in-force traditional, universal life and IUL insurance policies. The effects of this agreement are accounted for as reinsurance as the ceded policies qualify as insurance products and because the agreement satisfies the risk transfer requirements for GAAP.</w:t>
      </w:r>
    </w:p>
    <w:p>
      <w:pPr>
        <w:spacing w:after="0" w:line="55"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Hannover Reinsurance Transaction</w:t>
      </w:r>
      <w:r>
        <w:rPr>
          <w:rFonts w:ascii="Times New Roman" w:cs="Times New Roman" w:eastAsia="Times New Roman" w:hAnsi="Times New Roman"/>
          <w:sz w:val="14"/>
          <w:szCs w:val="14"/>
          <w:color w:val="auto"/>
        </w:rPr>
        <w:t>. FGL Insurance has a reinsurance agreement with Hannover Life Reassurance Company of America (Bermuda) Ltd., an unaffiliated reinsurer, to reinsure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in-force block of its indexed annuity and fixed deferred annuity contracts with GMWB and Guaranteed Minimum Death Benefit (“GMDB”) guarantees. In accordance with the terms of this agreement, we cede 70% net retention of secondary guarantee payments in excess of account value for GMWB and GMDB guarantees. The effects of this agreement are not accounted for as reinsurance as it does not satisfy the risk transfer requirements for GAAP; therefore, deposit accounting is applied.</w:t>
      </w:r>
    </w:p>
    <w:p>
      <w:pPr>
        <w:spacing w:after="0" w:line="53"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Kubera Reinsurance Transaction. </w:t>
      </w:r>
      <w:r>
        <w:rPr>
          <w:rFonts w:ascii="Times New Roman" w:cs="Times New Roman" w:eastAsia="Times New Roman" w:hAnsi="Times New Roman"/>
          <w:sz w:val="14"/>
          <w:szCs w:val="14"/>
          <w:color w:val="auto"/>
        </w:rPr>
        <w:t>FGL Insurance has a reinsurance agreement with Kubera Insurance (SAC) Ltd. (“Kubera”), an unaffiliated reinsurer, to cede a quota share of certain indexed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annuity statutory reserves on a coinsurance funds withheld basis, net of applicable existing reinsurance. This agreement has been amended several times to include additional FIA policies, with the latest amendment effective December 1, 2025. The effects of this agreement are not accounted for as reinsurance as it does not satisfy the risk transfer requirements for GAAP; therefore, deposit accounting is applied and FGL Insurance applies the right of offset in the reinsurance agreement.</w:t>
      </w:r>
    </w:p>
    <w:p>
      <w:pPr>
        <w:spacing w:after="0" w:line="5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enhance Kubera's ability to pay its obligations under the amended reinsurance agreement, F&amp;G entered into a Variable Note Purchase Agreement (the “NPA”), whereby F&amp;G agreed to fund a note to Kubera to be used to ultimately settle with F&amp;G, with principal increases up to a maximum amount of $435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2024 and 2023, the amount funded under the NPA was insignificant.</w:t>
      </w:r>
    </w:p>
    <w:p>
      <w:pPr>
        <w:spacing w:after="0" w:line="5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Kubera &amp; Somerset Reinsurance Transactions. </w:t>
      </w:r>
      <w:r>
        <w:rPr>
          <w:rFonts w:ascii="Times New Roman" w:cs="Times New Roman" w:eastAsia="Times New Roman" w:hAnsi="Times New Roman"/>
          <w:sz w:val="14"/>
          <w:szCs w:val="14"/>
          <w:color w:val="auto"/>
        </w:rPr>
        <w:t>FGL Insurance entered into a reinsurance agreement with Kubera, effective December 31, 2018, to cede certain fixed rate annuity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MYGA) GAAP and statutory reserves on a coinsurance funds withheld basis, net of applicable existing reinsurance. Effective October 31, 2021, this agreement was novated from Kubera to Somerset Reinsurance Ltd. (“Somerset”), a certified third-party reinsurer. Effective December 1, 2023, FGL Insurance executed an additional coinsurance funds withheld agreement with Somerset to cede certain flow MYGA business written effective on or after December 1, 2023. As the policies ceded to Somerset are investment contracts, there is no significant insurance risk present and these portions of the reinsurance agreements are accounted for as separate investment contracts.</w:t>
      </w:r>
    </w:p>
    <w:p>
      <w:pPr>
        <w:spacing w:after="0" w:line="5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July 1, 2024, FGL Insurance amended the existing flow reinsurance agreement with Somerset to additionally cede the base contract benefits and GMWB riders attached under certain FIA policies on a coinsurance funds withheld quota share basis written on or after July 1, 2024. As the base contract benefits and GWMB riders are ceded to Somerset, there is sufficient insurance risk present that results in this portion of the reinsurance agreement being accounted for as reinsurance.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Everlake Reinsurance Transaction. </w:t>
      </w:r>
      <w:r>
        <w:rPr>
          <w:rFonts w:ascii="Times New Roman" w:cs="Times New Roman" w:eastAsia="Times New Roman" w:hAnsi="Times New Roman"/>
          <w:sz w:val="14"/>
          <w:szCs w:val="14"/>
          <w:color w:val="auto"/>
        </w:rPr>
        <w:t>Effective September 1, 2023, FGL Insurance executed a coinsurance agreement with Everlake Life Insurance Company (“Everlake”), an unaffiliated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cede, on a quota share basis, certain flow MYGA business written effective on or after September 1, 2023. As the policies ceded to Everlake are investment contracts, there is no significant insurance risk present and the effects of this agreement are accounted for as a separate investment contract.</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Aspida Reinsurance Transaction. </w:t>
      </w:r>
      <w:r>
        <w:rPr>
          <w:rFonts w:ascii="Times New Roman" w:cs="Times New Roman" w:eastAsia="Times New Roman" w:hAnsi="Times New Roman"/>
          <w:sz w:val="14"/>
          <w:szCs w:val="14"/>
          <w:color w:val="auto"/>
        </w:rPr>
        <w:t>FGL Insurance has a reinsurance agreement with ASPIDA Life Re Ltd. (“Aspida Re”), an unaffiliated reinsurer, to cede certain flow MYGA business, on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funds withheld coinsurance basis, net of applicable existing reinsurance, written effective on or after January 15, 2021. As the policies ceded to Aspida Re are investment contracts, there is no significant insurance risk present and therefore the reinsurance agreement is accounted for as a separate investment contract.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FGL insurance entered into a reinsurance agreement with Aspida Re Cayman Ltd. (“Aspida Re Cayman”), an unaffiliated reinsurer, to ceded certain flow MYGA business, on a funds withheld coinsurance basis, net of applicable existing reinsurance, written effective on or after November 1, 2025. As the policies ceded to Aspida Re Cayman are investment contracts, there is no significant insurance risk present and therefore the reinsurance agreement is accounted for as a separate investment contract.</w:t>
      </w:r>
    </w:p>
    <w:p>
      <w:pPr>
        <w:spacing w:after="0" w:line="4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New Re Reinsurance Transaction. </w:t>
      </w:r>
      <w:r>
        <w:rPr>
          <w:rFonts w:ascii="Times New Roman" w:cs="Times New Roman" w:eastAsia="Times New Roman" w:hAnsi="Times New Roman"/>
          <w:sz w:val="14"/>
          <w:szCs w:val="14"/>
          <w:color w:val="auto"/>
        </w:rPr>
        <w:t>Effective December 31, 2022, FGL Insurance entered into an indemnity reinsurance agreement with New Reinsurance Company Ltd., an unaffiliated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wholly owned subsidiary of Münchener Rückversicherungs-Gesellschaft Aktiengesellschaft in München (d/b/a “Munich Re”), to cede certain FIA policies. Effective July 1, 2023, this agreement was amended to reinsure additional FIA products. The coinsurance quota share is applicable to the base contract benefits under the FIA policies and the yearly renewable term is applicable to the waiver of surrender charges and return of premium. Effective October 1, 2025, this agreement was recaptured and terminated and FGL Insurance entered into a new indemnity reinsurance agreement with Munich Re to cede certain inforce and future flow FIA policies on a coinsurance basis, applicable to the base contract benefits, waiver of surrender charges, and minimum guaranteed surrender value benefits and for certain FIA policies, return of premium rider and minimum interest credit rider benefits. The effects of these agreements are not accounted for as reinsurance as they do not satisfy the risk transfer requirements for GAAP; therefore, deposit accounting is applied and FGL Insurance applies the right of offset in the reinsurance agreements.</w:t>
      </w:r>
    </w:p>
    <w:p>
      <w:pPr>
        <w:spacing w:after="0" w:line="5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 CARVM Facility. </w:t>
      </w:r>
      <w:r>
        <w:rPr>
          <w:rFonts w:ascii="Times New Roman" w:cs="Times New Roman" w:eastAsia="Times New Roman" w:hAnsi="Times New Roman"/>
          <w:sz w:val="14"/>
          <w:szCs w:val="14"/>
          <w:color w:val="auto"/>
        </w:rPr>
        <w:t>Life insurance companies operating in the United States must calculate required reserves for life and annuity policies based on statutory principles. The insurance divisions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have adopted the methodology contained in the NAIC Valuation Manual as the prescribed methodology for the insurance industry. The industry has reduced or eliminated redundancies thereby increasing capital using a variety of techniques including reserve facilities.</w:t>
      </w:r>
    </w:p>
    <w:p>
      <w:pPr>
        <w:spacing w:after="0" w:line="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FGL Insurance has a reinsurance treaty with Raven Reinsurance Company (“Raven Re”), its wholly owned captive reinsurance company, to cede the Commissioners Annuity Reserve Valuation Method (“CARVM”) liability for annuity benefits where surrender charges are waived related to certain indexed annuities, deferred annuity and MYGA policies. In connection with the CARVM reinsurance agreement, FGL Insurance and Raven Re entered into an agreement with Nomura Bank International plc (“NBI”) to establish a reserve financing facility in the form of a letter of credit issued by NBI. The financing facility has $150 million available to draw on as of December 31, 2025. The amended facility may terminate earlier than the current termination date of October 1, 2027, in accordance with the terms of the reimbursement agreement. Under the terms of the reimbursement agreement, in the event the letter of credit is drawn upon, Raven Re is required to repay the amounts utilized, and FGAL is obligated to repay the amounts utilized if Raven Re fails to make the required reimbursement. Under the terms of the agreement, F&amp;G Annuities &amp; Life, Inc. (“FGAL”) is also required to make a capital contribution to Raven Re in certain circumstances, including in the event that Raven Re’s statutory capital and surplus falls below defined levels. As of December 31, 2025 and 2024, no capital contributions were required to be made due to these conditions. As this letter of credit is provided by an unaffiliated financial institution, Raven Re is permitted to carry the letter of credit as an admitted asset on the Raven Re statutory balance sheet.</w:t>
      </w:r>
    </w:p>
    <w:p>
      <w:pPr>
        <w:spacing w:after="0" w:line="5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GMWB/GWP Reinsurance Transaction</w:t>
      </w:r>
      <w:r>
        <w:rPr>
          <w:rFonts w:ascii="Times New Roman" w:cs="Times New Roman" w:eastAsia="Times New Roman" w:hAnsi="Times New Roman"/>
          <w:sz w:val="14"/>
          <w:szCs w:val="14"/>
          <w:color w:val="auto"/>
        </w:rPr>
        <w:t>. Effective December 31, 2023, FGL Insurance recaptured its reinsurance arrangement with Canada Life Assurance Company (“Canada Life”) United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States Branch covering indexed annuity policies with GMWB and guaranteed withdrawal payment (“GWP”) features and entered into a reinsurance treaty with Corbeau Re, Inc. (“Corbeau Re”), its wholly owned captive reinsurance company, to cede certain indexed annuity policies with GMWB and GWP. In connection with the reinsurance agreement between FGL Insurance and Corbeau Re, Corbeau Re entered into an excess of loss reinsurance agreement (“XOL”) with Canada Life Barbados Branch to finance the portion of statutory reserves considered to be non-economic. The XOL matures on December 31, 2043, and provides for coverage on losses up to $2.4 billion as of December 31, 2024. With Corbeau Re, non-economic reserves were financed through the maturity date of the XOL and statutory reserves are recorded for all risks expected to be incurred after the maturity date of the XOL. The XOL is not accounted for as reinsurance as it does not satisfy the risk transfer requirements for GAAP; therefore, deposit accounting is applied. Under the terms of the agreement, FGAL is required to make a capital contribution to Corbeau Re in certain circumstances, including in the event that Corbeau Re’s statutory capital and surplus falls below defined levels. As of December 31, 2025, no capital contributions were required to be made due to these conditions. Corbeau Re is permitted to</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 for the excess of loss reinsurance agreement from Canada Life as an admitted asset on the Corbeau Re statutory balance sheet.</w:t>
      </w:r>
    </w:p>
    <w:p>
      <w:pPr>
        <w:spacing w:after="0" w:line="9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PRT Reinsurance Transaction</w:t>
      </w:r>
      <w:r>
        <w:rPr>
          <w:rFonts w:ascii="Times New Roman" w:cs="Times New Roman" w:eastAsia="Times New Roman" w:hAnsi="Times New Roman"/>
          <w:sz w:val="14"/>
          <w:szCs w:val="14"/>
          <w:color w:val="auto"/>
        </w:rPr>
        <w:t>. Effective October 1, 2023, FGL Insurance recaptured a reinsurance agreement with its affiliate F&amp;G Life Re Ltd. (“F&amp;G Life Re”), a Bermuda reinsurer, covering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quota share of certain pension risk transfer group annuity contracts and entered into an agreement with its affiliate F&amp;G Cayman Re Ltd. (“F&amp;G Cayman Re”), a Cayman Islands reinsurer, to reinsure a quota share of certain PRT group annuity contracts (previously ceded to F&amp;G Life Re) in addition to flow PRT group annuity contracts. Some of the contracts reinsured are held by FGL Insurance’s general account and others are held by a FGL Insurance separate account (which does not meet the GAAP definition of a separate account). Reinsurance of the general account contracts are maintained on a coinsurance funds withheld basis for the general account statutory reserves. Reinsurance of the separate account contracts are maintained on a modified coinsurance basis for the separate account statutory reserves and coinsurance basis for the general account statutory reserves supporting the separate account. In connection with the agreement, F&amp;G Cayman Re entered into a financing agreement with Deutsche Bank AG (“DB”), operating out of its New York branch, whereby DB issued a letter of credit used to support the coinsured general account statutory reserves (generally considered to be the non-economic reserves).</w:t>
      </w:r>
    </w:p>
    <w:p>
      <w:pPr>
        <w:spacing w:after="0" w:line="58"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IUL YRT Reinsurance. </w:t>
      </w:r>
      <w:r>
        <w:rPr>
          <w:rFonts w:ascii="Times New Roman" w:cs="Times New Roman" w:eastAsia="Times New Roman" w:hAnsi="Times New Roman"/>
          <w:sz w:val="14"/>
          <w:szCs w:val="14"/>
          <w:color w:val="auto"/>
        </w:rPr>
        <w:t>Effective January 1, 2025, F&amp;G entered into separate flow reinsurance agreements with several reinsurance companies to reinsure mortality risk on certain IUL policies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yearly renewable term basis. Effective July 1, 2025, F&amp;G entered into separate reinsurance agreements with several reinsurance companies to reinsure mortality risk on certain inforce IUL policies on a yearly renewable term basis. In accordance with the terms of these agreements, F&amp;G cedes the net amount at risk on the IUL policies, which is the difference between the stated death benefit and the contractholder funds balance.</w:t>
      </w:r>
    </w:p>
    <w:p>
      <w:pPr>
        <w:spacing w:after="0" w:line="5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New Reinsurance Vehicle. </w:t>
      </w:r>
      <w:r>
        <w:rPr>
          <w:rFonts w:ascii="Times New Roman" w:cs="Times New Roman" w:eastAsia="Times New Roman" w:hAnsi="Times New Roman"/>
          <w:sz w:val="14"/>
          <w:szCs w:val="14"/>
          <w:color w:val="auto"/>
        </w:rPr>
        <w:t>During the third quarter of 2025, F&amp;G announced the launch of a strategic partnership with a new reinsurance vehicle backed by Blackstone managed funds,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$1 billion in anticipated capital commitments. Effective August 1, 2025, F&amp;G executed this forward flow reinsurance agreement with Fort Greene Reinsurance SPC Limited Segregated Portfolio No. 1, (“Fort Greene”) to cede certain FIA policies on a coinsurance funds withheld quota share basis and certain funding agreements on a modified coinsurance basis. F&amp;G does not hold any ownership stake in the unaffiliated Fort Greene entity. As the policies ceded to Fort Greene are investment contracts, there is no significant insurance risk present and therefore the reinsurance agreement is accounted for as a separate investment contract.</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F&amp;G Life Re. </w:t>
      </w:r>
      <w:r>
        <w:rPr>
          <w:rFonts w:ascii="Times New Roman" w:cs="Times New Roman" w:eastAsia="Times New Roman" w:hAnsi="Times New Roman"/>
          <w:sz w:val="14"/>
          <w:szCs w:val="14"/>
          <w:color w:val="auto"/>
        </w:rPr>
        <w:t>Effective December 1, 2025, FGL Insurance recaptured a portion of the reinsurance agreement with its affiliate F&amp;G Life Re, covering a quota share of certain FIA policies.</w:t>
      </w:r>
    </w:p>
    <w:p>
      <w:pPr>
        <w:spacing w:after="0" w:line="94" w:lineRule="exact"/>
        <w:rPr>
          <w:sz w:val="20"/>
          <w:szCs w:val="20"/>
          <w:color w:val="auto"/>
        </w:rPr>
      </w:pPr>
    </w:p>
    <w:p>
      <w:pPr>
        <w:ind w:right="500" w:firstLine="255"/>
        <w:spacing w:after="0" w:line="290" w:lineRule="auto"/>
        <w:rPr>
          <w:sz w:val="20"/>
          <w:szCs w:val="20"/>
          <w:color w:val="auto"/>
        </w:rPr>
      </w:pPr>
      <w:r>
        <w:rPr>
          <w:rFonts w:ascii="Times New Roman" w:cs="Times New Roman" w:eastAsia="Times New Roman" w:hAnsi="Times New Roman"/>
          <w:sz w:val="14"/>
          <w:szCs w:val="14"/>
          <w:color w:val="auto"/>
        </w:rPr>
        <w:t xml:space="preserve">All intercompany balances have been eliminated in the preparation of the accompanying Consolidated Financial Statements. See Note N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to our Consolidated Financial Statements included in Part II - Item 8 of this Annual Report on Form 10-K.</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Distribution</w:t>
      </w:r>
      <w:r>
        <w:rPr>
          <w:rFonts w:ascii="Times New Roman" w:cs="Times New Roman" w:eastAsia="Times New Roman" w:hAnsi="Times New Roman"/>
          <w:sz w:val="14"/>
          <w:szCs w:val="14"/>
          <w:color w:val="auto"/>
        </w:rPr>
        <w:t>. We distribute our annuity and life insurance products through three main retail channels of distribution: independent agents, banks, and broker dealers.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our independent agent channel, the sale of our products typically occurs as part of a four-party, three stage sales process between FGL Insurance, an IMO, the agent, and the customer. FGL Insurance designs, manufactures, issues, and services the product. The IMOs will typically sign contracts with multiple insurance carriers to provide their agents with a broad and competitive product portfolio. The IMO provides training and discusses product options with agents in preparation for meetings with clients. The IMO staff also provide assistance to the agent during the selling and application process. The agent may get customer leads from the IMOs. The agent conducts a fact finding and presents suitable product choices to the customers. We monitor the business issued by each distribution partner for pricing metrics, mortality, persistency, as well as market conduct and suitability.</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offer our products through a network of approximately 300 IMOs, representing approximately 173,000 agents. We believe that our relationships with these IMOs are strong. We identify Power Partners as those who have demonstrated the ability to generate significant production for our business. We currently have 58 Power Partners, comprised of 24 annuity IMOs and 34 life insurance IMOs. The average tenure of the Power Partners is approximately 21 years.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took a similar approach in launching products as a new entrant into the bank and broker dealer channels by partnering with one of the largest broker dealers in the industry. In 2020, F&amp;G launched a set of fixed rate annuity and indexed annuity products to banks and broker dealers and gained selling agreements with some of the largest banks and broker dealers in the United States. We offer our products through a network of approximately 26 banks and broker dealers, representing approximately 14,000 financial advisers. The financial advisers at our bank and broker dealer partners can offer their clients guaranteed rates of return, protected growth, and income for life through our secure series of annuity products. We employ a hybrid distribution model in this channel, whereby some financial institutions partner directly with F&amp;G and our sales team,</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and others work with an intermediary. As such, we partner with a select number of financial institution intermediaries who have expertise in the channel and maintain the appropriate field wholesaling forces to be successful in this channel. In 2025, the top five firms represented 81% of channel sales. Bank and broker dealers represented 36% of annuity sales for the year ended December 31, 2025.</w:t>
      </w:r>
    </w:p>
    <w:p>
      <w:pPr>
        <w:spacing w:after="0" w:line="21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top 5 states for the distribution of F&amp;G retail products in the year ended December 31, 2025, were California, Florida, Pennsylvania, Texas and New Jersey, which together accounted for 40% of FGL Insurance’s premiums.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Within our F&amp;G segment, we embrace a long-term conservative investment philosophy, investing nearly all the insurance premiums we receive in a wide range of high-quality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Our investment strategy is designed to preserve capital, provide consistent yield and investment income and achieve attractive absolute returns. We base all our decisions on fundamental, bottom-up research, coupled with a top-down view that respects the cyclicality of certain asset classes. The types of assets in which we may invest are influenced by various state laws, which prescribe qualified investment assets applicable to insurance companies.</w:t>
      </w:r>
    </w:p>
    <w:p>
      <w:pPr>
        <w:spacing w:after="0" w:line="55"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FGL Insurance and certain other subsidiaries of F&amp;G are party to investment management agreements (“IMAs”) with Blackstone ISG-I Advisors LLC (“BIS”) pursuant to which BIS is appointed as investment manager of substantially all assets in the general and separate accounts of those entities. As of December 31, 2025, approximately 78% of our $69 billion investment portfolio was managed by BIS, with 20% managed by other third parties, and the remaining 2% internally managed. BIS, in accordance with our IMAs, has delegated certain investment services to its affiliates, including Blackstone’s Credit, Real Estate Debt and Asset-Based Finance businesses, in each case, pursuant to separate sub-management agreements executed between BIS and each such affiliate.</w:t>
      </w:r>
    </w:p>
    <w:p>
      <w:pPr>
        <w:spacing w:after="0" w:line="22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F&amp;G has a robust governance process and framework to manage the investment portfolio. While BIS is primarily responsible for security selection, F&amp;G makes all investment strategy decisions and sets risk parameters. All major decisions need to be reviewed and approved by the F&amp;G Investment Committee, and new investment asset classes go through an internal risk assessment process at F&amp;G to ensure the investments are suitable for an insurance company balance sheet. We define risk tolerance across a wide range of factors, including credit risk, liquidity risk, concentration (issuer and sector) risk, and caps on specific asset classes, which in turn establish conservative risk thresholds. Also, F&amp;G has flexibility to use other asset management partners through our flow reinsurance platform over time.</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along with BIS, continually monitors portfolio allocations and holdings to optimize the portfolio profile. F&amp;G has undertaken several programs to take advantage of the credit cycle and market conditions or to undertake prudent risk management in anticipation of an unfavorable economic environment. We have also added several new asset classes to the investment portfolio to further enhance diversification.</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investment portfolio consists of high-quality fixed maturities, including publicly issued and privately issued corporate bonds, municipal and other government bonds, asset-backed securities ("ABS"), residential mortgage-backed securities ("RMBS"), commercial mortgage-backed securities ("CMBS"), commercial mortgage loans ("CMLs"), residential mortgage loans ("RMLs"), limited partnership investments and other investments. We also maintain holdings in floating rate, and less rate-sensitive investments, including senior tranches of collateralized loan obligations (“CLOs”), non-agency RMBS and various types of ABS. It is our expectation that our investment portfolio will broaden in scope and diversity to include other asset classes held by life and annuity insurance writers. We also have a small amount of equity holdings required as part of our funding arrangements with the FHLB.</w:t>
      </w:r>
    </w:p>
    <w:p>
      <w:pPr>
        <w:spacing w:after="0" w:line="27" w:lineRule="exact"/>
        <w:rPr>
          <w:sz w:val="20"/>
          <w:szCs w:val="20"/>
          <w:color w:val="auto"/>
        </w:rPr>
      </w:pPr>
    </w:p>
    <w:p>
      <w:pPr>
        <w:jc w:val="both"/>
        <w:ind w:firstLine="255"/>
        <w:spacing w:after="0" w:line="185" w:lineRule="exact"/>
        <w:rPr>
          <w:sz w:val="20"/>
          <w:szCs w:val="20"/>
          <w:color w:val="auto"/>
        </w:rPr>
      </w:pPr>
      <w:r>
        <w:rPr>
          <w:rFonts w:ascii="Times New Roman" w:cs="Times New Roman" w:eastAsia="Times New Roman" w:hAnsi="Times New Roman"/>
          <w:sz w:val="14"/>
          <w:szCs w:val="14"/>
          <w:color w:val="auto"/>
        </w:rPr>
        <w:t>The Company employs hedging strategies to manage exposure to floating interest rates on a portion of its existing and newly acquired floating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rate assets, subject to market conditions. The Company also uses foreign exchange hedging instruments to manage exposure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dollar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denominated investments by economically converting such exposures to U.S. dollars, with the objective of reducing volatility in earnings resulting from changes in interest rates and foreign exchange rates.</w:t>
      </w:r>
    </w:p>
    <w:p>
      <w:pPr>
        <w:spacing w:after="0" w:line="7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portfolio also has exposure to U.S. dollar denominated emerging market bonds, highly rated preferred stocks and hybrids, and structured securities including ABS. We currently maintain a well-matched asset/liability profile (asset duration, including cash and cash equivalents, of 4.5 years vs. liability duration of 5.2 years).</w:t>
      </w:r>
    </w:p>
    <w:p>
      <w:pPr>
        <w:spacing w:after="0" w:line="3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For further discussion of portfolio activity, refer to Item 7 of Part II of this Annual Report, under Management’s Discussion and Analysis of Financial Condition and Results of Operations - </w:t>
      </w:r>
      <w:r>
        <w:rPr>
          <w:rFonts w:ascii="Times New Roman" w:cs="Times New Roman" w:eastAsia="Times New Roman" w:hAnsi="Times New Roman"/>
          <w:sz w:val="14"/>
          <w:szCs w:val="14"/>
          <w:i w:val="1"/>
          <w:iCs w:val="1"/>
          <w:color w:val="auto"/>
        </w:rPr>
        <w:t>Investment Portfolio</w:t>
      </w:r>
      <w:r>
        <w:rPr>
          <w:rFonts w:ascii="Times New Roman" w:cs="Times New Roman" w:eastAsia="Times New Roman" w:hAnsi="Times New Roman"/>
          <w:sz w:val="14"/>
          <w:szCs w:val="14"/>
          <w:color w:val="auto"/>
        </w:rPr>
        <w:t>.</w:t>
      </w:r>
    </w:p>
    <w:p>
      <w:pPr>
        <w:spacing w:after="0" w:line="1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Risk Management. </w:t>
      </w:r>
      <w:r>
        <w:rPr>
          <w:rFonts w:ascii="Times New Roman" w:cs="Times New Roman" w:eastAsia="Times New Roman" w:hAnsi="Times New Roman"/>
          <w:sz w:val="14"/>
          <w:szCs w:val="14"/>
          <w:color w:val="auto"/>
        </w:rPr>
        <w:t>Risk management is a critical part of our business. We seek to assess risk to our business through a formalized process involving (i) identifying short-term and long-term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strategic and operational objectives; (ii) development of risk appetite statements that establish what the company is willing to accept in terms of risks to achieving its goals and objectives; (iii) identifying the levers that control the risk appetite of the company; (iv) establishing the overall limits of risk acceptable for a given risk driver; (v) establishing operational risk limits that are aligned with the tolerances; (vi) assigning risk limit quantification and mitigation responsibilities to individual team members within functional groups; (vii) analyzing the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potential qualitative and quantitative impact of individual risks, including but not limited to stress and scenario testing covering over eight economic and insurance related risks; (viii) mitigating risks by appropriate actions; and (ix) identifying, documenting, and communicating key business risks in a timely fashion.</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most significant risks are governed through holding company governance committees and overall by the Enterprise Risk Management Committee (“ERMC”). Our most significant risks such as credit risk, liquidity risk, and policyholder behavior associated with interest rate risk have established risk limits associated with our risk appetite statements. These include investment limits by asset class, ratings and issuer. Liquidity risk is managed through frequent forecasting of sources and uses of cash and managed to our Liquidity Policy. Asset liability management ("ALM") procedures and limits protect the Company, within limits, against significant changes in interest rates. In addition, the risks are stressed as part of our scenario testing process to identify areas requiring mitigation plans based on the macroeconomic environment. Risk limits, risk appetite and scenario testing results of the stresses are discussed with stakeholders such as the F&amp;G ERMC, the Board of Directors (“Board”) and Audit Committee (“AC”) of F&amp;G, regulators and rating agencies.</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responsibility for monitoring, evaluating and responding to risk is assigned first to our management and employees, second to those occupying specialist functions, such as legal compliance and risk teams, and third to those occupying supervisory functions, such as internal audit and the Board.</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Outsourcing. </w:t>
      </w:r>
      <w:r>
        <w:rPr>
          <w:rFonts w:ascii="Times New Roman" w:cs="Times New Roman" w:eastAsia="Times New Roman" w:hAnsi="Times New Roman"/>
          <w:sz w:val="14"/>
          <w:szCs w:val="14"/>
          <w:color w:val="auto"/>
        </w:rPr>
        <w:t>Our F&amp;G segment outsources the following functions to third-party service providers:</w:t>
      </w:r>
    </w:p>
    <w:p>
      <w:pPr>
        <w:spacing w:after="0" w:line="74" w:lineRule="exact"/>
        <w:rPr>
          <w:sz w:val="20"/>
          <w:szCs w:val="20"/>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business administration (data entry and policy issue only);</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of existing policies;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underwriting administration of life insurance applications;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call centers;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technology development and maintenance;</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investment accounting and custody; and</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co-located data centers and hosting of financial systems.</w:t>
      </w:r>
    </w:p>
    <w:p>
      <w:pPr>
        <w:spacing w:after="0" w:line="7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closely manage our outsourcing partners and integrate their services into our operations. We believe that outsourcing such functions allows us to focus capital and our employees on our core business operations and perform differentiating functions, such as finance, actuarial, product development and risk management functions. In addition, we believe an outsourcing model provides predictable pricing, service levels, and volume capabilities and allows us to benefit from technological developments that enhance our customer self-service and sales processes. We believe that we have a good relationship with our principal outsource service providers.</w:t>
      </w:r>
    </w:p>
    <w:p>
      <w:pPr>
        <w:spacing w:after="0" w:line="5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Ratings. </w:t>
      </w:r>
      <w:r>
        <w:rPr>
          <w:rFonts w:ascii="Times New Roman" w:cs="Times New Roman" w:eastAsia="Times New Roman" w:hAnsi="Times New Roman"/>
          <w:sz w:val="14"/>
          <w:szCs w:val="14"/>
          <w:color w:val="auto"/>
        </w:rPr>
        <w:t>Within our F&amp;G segment, access to funding and our related cost of borrowing, the attractiveness of certain of our products to customers and requirements for derivatives collateral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posting are affected by our credit ratings and insurance financial strength ratings, which are periodically reviewed by the rating agencies. Financial strength ratings and credit ratings are important factors affecting public confidence in an insurer and its competitive position in marketing products.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As of the date of this Annual Report, A.M. Best Company ("A.M. Best"), Fitch Ratings ("Fitch"), Moody's, and S&amp;P had issued credit ratings, financial strength ratings and/or outlook statements regarding us, as listed below. Credit ratings represent the opinions of rating agencies regarding an entity’s ability to repay its indebtedness. Financial strength ratings represent the opinions of rating agencies regarding the ability of an insurance company to meet its financial obligations under an insurance policy and generally involve quantitative and qualitative evaluations by rating agencies of a company’s financial condition and operating performance. Generally, rating agencies base their financial strength ratings upon information furnished to them by the insurer and upon their own investigations, studies and assumptions. Financial strength ratings are based upon factors of concern to policyholders, agents and intermediaries and are not directed toward the protection of investors. Credit and financial strength ratings are not recommendations to buy, sell or hold securities and they may be revised or revoked at any time at the sole discretion of the rating organization.</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financial strength ratings, rating agencies use an “outlook statement” to indicate a medium or long term trend that, if continued, may lead to a rating change. A positive outlook indicates a rating may be raised and a negative outlook indicates a rating may be lowered. A stable outlook is assigned when ratings are not likely to be changed. A developing outlook is assigned when a rating may be raised, lowered or affirmed. Outlooks should not be confused with expected stability of the issuer’s financial or economic performance. A rating may have a "stable" outlook to indicate that the rating is not expected to change, but a "stable" outlook does not preclude a rating agency from changing a rating at any time without notice.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rating organizations may take various actions, positive or negative. Such actions are beyond our control, and we cannot predict what these actions may be and the timing thereof.</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S&amp;P</w:t>
            </w:r>
          </w:p>
        </w:tc>
        <w:tc>
          <w:tcPr>
            <w:tcW w:w="1300" w:type="dxa"/>
            <w:vAlign w:val="bottom"/>
            <w:gridSpan w:val="2"/>
          </w:tcPr>
          <w:p>
            <w:pPr>
              <w:ind w:left="480"/>
              <w:spacing w:after="0"/>
              <w:rPr>
                <w:sz w:val="20"/>
                <w:szCs w:val="20"/>
                <w:color w:val="auto"/>
              </w:rPr>
            </w:pPr>
            <w:r>
              <w:rPr>
                <w:rFonts w:ascii="Times New Roman" w:cs="Times New Roman" w:eastAsia="Times New Roman" w:hAnsi="Times New Roman"/>
                <w:sz w:val="11"/>
                <w:szCs w:val="11"/>
                <w:b w:val="1"/>
                <w:bCs w:val="1"/>
                <w:color w:val="auto"/>
              </w:rPr>
              <w:t>Fitch</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Moody's</w:t>
            </w:r>
          </w:p>
        </w:tc>
      </w:tr>
      <w:tr>
        <w:trPr>
          <w:trHeight w:val="106"/>
        </w:trPr>
        <w:tc>
          <w:tcPr>
            <w:tcW w:w="20" w:type="dxa"/>
            <w:vAlign w:val="bottom"/>
          </w:tcPr>
          <w:p>
            <w:pPr>
              <w:spacing w:after="0"/>
              <w:rPr>
                <w:sz w:val="9"/>
                <w:szCs w:val="9"/>
                <w:color w:val="auto"/>
              </w:rPr>
            </w:pPr>
          </w:p>
        </w:tc>
        <w:tc>
          <w:tcPr>
            <w:tcW w:w="6180" w:type="dxa"/>
            <w:vAlign w:val="bottom"/>
            <w:gridSpan w:val="3"/>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Holding Company Ratings</w:t>
            </w:r>
          </w:p>
        </w:tc>
        <w:tc>
          <w:tcPr>
            <w:tcW w:w="11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r>
      <w:tr>
        <w:trPr>
          <w:trHeight w:val="22"/>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F&amp;G Annuities &amp; Life, Inc.</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Issuer Credit / Default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Baa3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Senior Unsecured Notes</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BBB-</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BBB-</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Baa3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Junior Unsecured Notes (a)</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BB</w:t>
            </w:r>
          </w:p>
        </w:tc>
        <w:tc>
          <w:tcPr>
            <w:tcW w:w="13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5"/>
              </w:rPr>
              <w:t>BB</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Ba1</w:t>
            </w:r>
          </w:p>
        </w:tc>
      </w:tr>
      <w:tr>
        <w:trPr>
          <w:trHeight w:val="117"/>
        </w:trPr>
        <w:tc>
          <w:tcPr>
            <w:tcW w:w="20" w:type="dxa"/>
            <w:vAlign w:val="bottom"/>
          </w:tcPr>
          <w:p>
            <w:pPr>
              <w:spacing w:after="0"/>
              <w:rPr>
                <w:sz w:val="10"/>
                <w:szCs w:val="10"/>
                <w:color w:val="auto"/>
              </w:rPr>
            </w:pPr>
          </w:p>
        </w:tc>
        <w:tc>
          <w:tcPr>
            <w:tcW w:w="61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Operating Subsidiary Ratings</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Fidelity &amp; Guaranty Life Insurance Company</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Fidelity &amp; Guaranty Life Insurance Company of New York</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Stable</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F&amp;G Life Re Ltd</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53"/>
        </w:trPr>
        <w:tc>
          <w:tcPr>
            <w:tcW w:w="20" w:type="dxa"/>
            <w:vAlign w:val="bottom"/>
          </w:tcPr>
          <w:p>
            <w:pPr>
              <w:spacing w:after="0"/>
              <w:rPr>
                <w:sz w:val="13"/>
                <w:szCs w:val="13"/>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Not Rated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A3</w:t>
            </w: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Stable</w:t>
            </w:r>
          </w:p>
        </w:tc>
      </w:tr>
      <w:tr>
        <w:trPr>
          <w:trHeight w:val="153"/>
        </w:trPr>
        <w:tc>
          <w:tcPr>
            <w:tcW w:w="20" w:type="dxa"/>
            <w:vAlign w:val="bottom"/>
          </w:tcPr>
          <w:p>
            <w:pPr>
              <w:spacing w:after="0"/>
              <w:rPr>
                <w:sz w:val="13"/>
                <w:szCs w:val="13"/>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F&amp;G Cayman Re Ltd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Financial Strength Rating</w:t>
            </w:r>
          </w:p>
        </w:tc>
        <w:tc>
          <w:tcPr>
            <w:tcW w:w="12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Not Rated</w:t>
            </w:r>
          </w:p>
        </w:tc>
        <w:tc>
          <w:tcPr>
            <w:tcW w:w="128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1"/>
                <w:szCs w:val="11"/>
                <w:color w:val="auto"/>
              </w:rPr>
              <w:t>Not Rated</w:t>
            </w:r>
          </w:p>
        </w:tc>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Not Rated</w:t>
            </w:r>
          </w:p>
        </w:tc>
      </w:tr>
      <w:tr>
        <w:trPr>
          <w:trHeight w:val="147"/>
        </w:trPr>
        <w:tc>
          <w:tcPr>
            <w:tcW w:w="20" w:type="dxa"/>
            <w:vAlign w:val="bottom"/>
          </w:tcPr>
          <w:p>
            <w:pPr>
              <w:spacing w:after="0"/>
              <w:rPr>
                <w:sz w:val="12"/>
                <w:szCs w:val="12"/>
                <w:color w:val="auto"/>
              </w:rPr>
            </w:pPr>
          </w:p>
        </w:tc>
        <w:tc>
          <w:tcPr>
            <w:tcW w:w="618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Outlook</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Stable</w:t>
            </w:r>
          </w:p>
        </w:tc>
        <w:tc>
          <w:tcPr>
            <w:tcW w:w="1200" w:type="dxa"/>
            <w:vAlign w:val="bottom"/>
          </w:tcPr>
          <w:p>
            <w:pPr>
              <w:spacing w:after="0"/>
              <w:rPr>
                <w:sz w:val="12"/>
                <w:szCs w:val="12"/>
                <w:color w:val="auto"/>
              </w:rPr>
            </w:pPr>
          </w:p>
        </w:tc>
      </w:tr>
      <w:tr>
        <w:trPr>
          <w:trHeight w:val="195"/>
        </w:trPr>
        <w:tc>
          <w:tcPr>
            <w:tcW w:w="20" w:type="dxa"/>
            <w:vAlign w:val="bottom"/>
          </w:tcPr>
          <w:p>
            <w:pPr>
              <w:spacing w:after="0"/>
              <w:rPr>
                <w:sz w:val="16"/>
                <w:szCs w:val="16"/>
                <w:color w:val="auto"/>
              </w:rPr>
            </w:pP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(a) Reflects rating of $375 million Junior Subordinated Notes due 2065 issued in January 2025</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4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A.M. Best, S&amp;P, Fitch and Moody’s review their ratings of insurance companies from time to time. There can be no assurance that any particular rating will continue for any given period of time or that it will not be changed or withdrawn entirely if, in their judgment, circumstances so warrant. While the degree to which ratings adjustments will affect sales and persistency is unknown, we believe if our ratings were to be negatively adjusted for any reason, we could experience a material decline in the sales of our products and the persistency of our existing business. See “Item 1A. Risk Factors."</w:t>
      </w:r>
    </w:p>
    <w:p>
      <w:pPr>
        <w:spacing w:after="0" w:line="6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F&amp;G is required to maintain minimum ratings as a matter of routine practice as part of its over-the-counter derivatives agreements on International Swaps and Derivatives Association ("ISDA") forms. Under some ISDA agreements, we have agreed to maintain certain financial strength ratings. Please refer to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our audited Consolidated Financial Statements included in Item 8 of Part II of this Annual Report for disclosure around the Company's requirement to maintain minimum ratings.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If the insurance subsidiaries held net short positions against a counterparty, and the subsidiaries’ financial strength ratings were below the levels required in the ISDA agreement with the counterparty, the counterparty would demand immediate further collateralization, which could negatively impact overall liquidity. Based on the fair value of our derivatives as of December 31, 2025, we hold no net short positions against a counterparty; therefore, we were not required to post collateral at December 31, 2025.</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downgrade of the financial strength rating of one of our principal insurance subsidiaries could affect our competitive position in the insurance industry and make it more difficult for us to market our products, as potential customers may select companies with higher financial strength ratings. A downgrade of the financial strength rating could also impact our borrowing costs.</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Regulation - U.S. </w:t>
      </w:r>
      <w:r>
        <w:rPr>
          <w:rFonts w:ascii="Times New Roman" w:cs="Times New Roman" w:eastAsia="Times New Roman" w:hAnsi="Times New Roman"/>
          <w:sz w:val="14"/>
          <w:szCs w:val="14"/>
          <w:color w:val="auto"/>
        </w:rPr>
        <w:t>FGL Insurance, FGL NY Insurance, Raven Re and Corbeau Re are subject to comprehensive regulation and supervision in their domiciles, Iowa, New York, Vermont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Vermont, respectively, and in each state in which they do business. FGL Insurance does business throughout the United States and Puerto Rico, except for New York. FGL NY Insurance only does business in New York. Raven Re is a special purpose captive reinsurance company that only provides reinsurance to FGL Insurance under the CARVM Treaty. Corbeau Re, a wholly owned captive reinsurance company, reinsures certain of FGL Insurance’s indexed annuity policies with GMWB and GWP. FGL Insurance’s principal insurance regulatory authority is the IID; however, state insurance departments throughout the United States also monitor FGL Insurance’s insurance operations as a licensed insurer. The New York State Department of Financial Services (“NYDFS”) regulates the operations of FGL NY Insurance. The purpose of these regulations is primarily to protect insurers’ policyholders and beneficiaries and not their general creditors and shareholders of those insurers or of their holding companies. Many of the laws and regulations to which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FGL Insurance and FGL NY Insurance are subject are regularly re-examined and existing or future laws and regulations may become more restrictive or otherwise adversely affect their operations.</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Generally, insurance products underwritten by, and rates used by FGL Insurance and FGL NY Insurance must be approved by the insurance regulators in each state or territory in which they are sold. In addition, insurance products may also be subject to the Employee Retirement Income Security Act of 1974 ("ERISA").</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State insurance authorities have broad administrative powers over FGL Insurance and FGL NY Insurance with respect to all aspects of the insurance business including:</w:t>
      </w:r>
    </w:p>
    <w:p>
      <w:pPr>
        <w:spacing w:after="0" w:line="72" w:lineRule="exact"/>
        <w:rPr>
          <w:sz w:val="20"/>
          <w:szCs w:val="20"/>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to transact business;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agents;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prescribing which assets and liabilities are to be considered in determining statutory surplus;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premium rates for certain insurance products;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policy forms and certain related materials;</w:t>
      </w:r>
    </w:p>
    <w:p>
      <w:pPr>
        <w:spacing w:after="0" w:line="72" w:lineRule="exact"/>
        <w:rPr>
          <w:rFonts w:ascii="Times New Roman" w:cs="Times New Roman" w:eastAsia="Times New Roman" w:hAnsi="Times New Roman"/>
          <w:sz w:val="14"/>
          <w:szCs w:val="14"/>
          <w:color w:val="auto"/>
        </w:rPr>
      </w:pPr>
    </w:p>
    <w:p>
      <w:pPr>
        <w:ind w:left="520" w:hanging="165"/>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insurers and agents to act in the best interests of consumers when making recommendations to purchase annuities, or to determine whether a reasonable basis exists as to the suitability of such investments for consumers;</w:t>
      </w:r>
    </w:p>
    <w:p>
      <w:pPr>
        <w:spacing w:after="0" w:line="18"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unfair trade and claims practices;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reserve requirements and solvency standards;</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amount of dividends that may be paid in any year by insurance companies;</w:t>
      </w:r>
    </w:p>
    <w:p>
      <w:pPr>
        <w:spacing w:after="0" w:line="72" w:lineRule="exact"/>
        <w:rPr>
          <w:rFonts w:ascii="Times New Roman" w:cs="Times New Roman" w:eastAsia="Times New Roman" w:hAnsi="Times New Roman"/>
          <w:sz w:val="14"/>
          <w:szCs w:val="14"/>
          <w:color w:val="auto"/>
        </w:rPr>
      </w:pPr>
    </w:p>
    <w:p>
      <w:pPr>
        <w:ind w:left="520" w:hanging="165"/>
        <w:spacing w:after="0" w:line="287"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availability of reinsurance or other substitute financing solutions, the terms thereof and the ability of an insurer to take credit on its financial statements for insurance ceded to reinsurers or other substitute financing solutions;</w:t>
      </w:r>
    </w:p>
    <w:p>
      <w:pPr>
        <w:spacing w:after="0" w:line="18"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fixing maximum interest rates on life insurance policy loans and minimum accumulation or surrender values; and</w:t>
      </w:r>
    </w:p>
    <w:p>
      <w:pPr>
        <w:spacing w:after="0" w:line="72"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regulating the type, amounts, and valuations of investments permitted, transactions with affiliates, and other matters.</w:t>
      </w:r>
    </w:p>
    <w:p>
      <w:pPr>
        <w:spacing w:after="0" w:line="7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State insurance laws and regulations require FGL Insurance, FGL NY Insurance, Raven Re and Corbeau Re to file reports, including financial statements, with state insurance departments in each state in which they do business, and their operations and accounts are subject to examination by those departments at any time. FGL Insurance, FGL NY Insurance, Raven Re and Corbeau Re prepare statutory financial statements in accordance with accounting practices and procedures prescribed or permitted by these departments.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NAIC has approved a series of statutory accounting principles and various model regulations that have been adopted, in some cases with certain modifications, by all state insurance departments. These statutory principles are subject to ongoing change and modification. Moreover, compliance with any particular regulator’s interpretation of a legal or accounting issue may not result in compliance with another regulator’s interpretation of the same issue, particularly when compliance is judged in hindsight. Any particular regulator’s interpretation of a legal or accounting issue may change over time to FGL Insurance’s, FGL NY Insurance’s, Raven Re’s or Corbeau Re’s detriment, or changes to the overall legal or market environment, even absent any change of interpretation by a particular regulator, may cause FGL Insurance, FGL NY Insurance, Raven Re and Corbeau Re to change their views regarding the actions they need to take from a legal risk management perspective, which could necessitate changes to FGL Insurance’s, FGL NY Insurance’s, Raven Re’s or Corbeau Re’s practices that may, in some cases, limit their ability to grow and improve profitability.</w:t>
      </w:r>
    </w:p>
    <w:p>
      <w:pPr>
        <w:spacing w:after="0" w:line="23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State insurance departments conduct periodic examinations of the books and records, financial reporting, policy and rate filings, market conduct and business practices of insurance companies domiciled in their states, generally once every three to five years. Examinations are generally carried out in cooperation with the insurance departments of other states under guidelines promulgated by the NAIC. State insurance departments also have the authority to conduct examinations of non-domiciliary insurers that are licensed in their states.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Iowa insurance law and the New York insurance law regulate the amount of dividends that may be paid in any year by FGL Insurance and FGL NY Insurance, respectively.</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FGL Insurance dividends are paid as declared by its Board of Directors. Pursuant to Iowa insurance law, any proposed payment of a dividend is classified as an “extraordinary dividend” if it, together with the aggregate fair market value of other dividends or distributions made during the preceding twelve months, exceeds the greater of (i) 10% of capital and surplus as of the preceding December 31 or (ii) net gain from operations before realized capital gains or losses for twelve month period ending December 31 of the preceding year. No extraordinary dividends may be paid without prior approval of the IID. 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 no ordinary dividends may be paid except from the earned profits arising from FGL Insurance’s business, which does not include contributed capital or contributed surplus.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2025, FGL Insurance did not pay dividends to Fidelity &amp; Guaranty Life Holdings, Inc. (“FGLH”). Pursuant to the limitations described above, it is estimated that FGL Insurance’s maximum ordinary dividend capacity for 2026 is $0.</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Any payment of dividends by FGL Insurance is subject to the regulatory restrictions described above and the approval of such payment by the board of directors of FGL Insurance, which must consider various factors, including general economic and business conditions, tax considerations, FGL Insurance’s strategic plans, financial results and condition, FGL Insurance’s expansion plans, any contractual, legal or regulatory restrictions on the payment of dividends and its effect on RBC and such other factors the board of directors of FGL Insurance considers relevant. For example, payments of dividends could reduce FGL Insurance’s RBC and financial condition and lead to a reduction in FGL Insurance’s financial strength rating. See section titled "Risks Relating to Our Business- </w:t>
      </w:r>
      <w:r>
        <w:rPr>
          <w:rFonts w:ascii="Times New Roman" w:cs="Times New Roman" w:eastAsia="Times New Roman" w:hAnsi="Times New Roman"/>
          <w:sz w:val="14"/>
          <w:szCs w:val="14"/>
          <w:i w:val="1"/>
          <w:iCs w:val="1"/>
          <w:color w:val="auto"/>
        </w:rPr>
        <w:t>If the rating agencies downgrade our insurance companies, our results of operations and financial condition may suffer.</w:t>
      </w:r>
      <w:r>
        <w:rPr>
          <w:rFonts w:ascii="Times New Roman" w:cs="Times New Roman" w:eastAsia="Times New Roman" w:hAnsi="Times New Roman"/>
          <w:sz w:val="14"/>
          <w:szCs w:val="14"/>
          <w:color w:val="auto"/>
        </w:rPr>
        <w:t>” in Item 1A. Risk Factors.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year, FGL NY Insurance may pay a certain limited amount of ordinary dividends or other distributions as calculated under New York insurance laws without being required to obtain the prior consent of the NYDFS. However, to pay any dividends or distributions (including the payment of any dividends or distributions for which prior consent is not required), FGL NY Insurance must provide advance written notice to the NYDFS.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FGL NY Insurance has historically not paid dividends.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FGL Insurance and FGL NY Insurance are subject to the supervision of the regulators in states where they are licensed to transact business. Regulators have discretionary authority in connection with the continued licensing of these entities to limit or prohibit sales to policyholders if, in their judgment, the regulators determine that such entities have not maintained the minimum surplus or capital or that the further transaction of business would be hazardous to policyholders.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order to enhance the regulation of insurers’ solvency, the NAIC adopted a model law to implement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In general, RBC is calculated by applying factors to various asset, premium and reserve items, taking into account the risk characteristics of the insurer. Within a given risk category, these factors are higher for those items with greater underlying risk and lower for items with lower underlying risk. The RBC formula is used as an early warning regulatory tool to identify possible inadequately capitalized insurers for purposes of initiating regulatory action, and not as a means to rank insurers generally. Insurers that have less statutory capital than the RBC calculation requires are considered to have inadequate capital and are subject to varying degrees of regulatory action depending upon the level of capital inadequacy. As of the most recent annual statutory financial statements filed with insurance regulators, the RBC ratios for FGL Insurance and FGL NY Insurance each exceeded the minimum RBC requirements.</w:t>
      </w:r>
    </w:p>
    <w:p>
      <w:pPr>
        <w:spacing w:after="0" w:line="23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It is desirable to maintain an RBC ratio in excess of the minimum requirements in order to maintain or improve financial strength ratings. FGL Insurance’s estimated U.S. RBC ratio was over 410% as of December 31, 2025, above our 400% target. See section titled “</w:t>
      </w:r>
      <w:r>
        <w:rPr>
          <w:rFonts w:ascii="Times New Roman" w:cs="Times New Roman" w:eastAsia="Times New Roman" w:hAnsi="Times New Roman"/>
          <w:sz w:val="14"/>
          <w:szCs w:val="14"/>
          <w:i w:val="1"/>
          <w:iCs w:val="1"/>
          <w:color w:val="auto"/>
        </w:rPr>
        <w:t>Risks Relating to Our Business- If the rating agencies downgrade our insurance companies, our results of operations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financial condition may suffer.</w:t>
      </w:r>
      <w:r>
        <w:rPr>
          <w:rFonts w:ascii="Times New Roman" w:cs="Times New Roman" w:eastAsia="Times New Roman" w:hAnsi="Times New Roman"/>
          <w:sz w:val="14"/>
          <w:szCs w:val="14"/>
          <w:color w:val="auto"/>
        </w:rPr>
        <w:t>” in Item 1A. Risk Factors.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NAIC has developed a set of financial relationships or tests known as the Insurance Regulatory Information System ("IRIS") to assist state regulators in monitoring the financial condition of U.S. insurance companies and identifying companies that require special attention or action by insurance regulatory authorities. A ratio falling outside the prescribed “usual range” is not considered a failing result. Rather, unusual values are viewed as part of the regulatory early monitoring system. In many cases, it is not unusual for financially sound companies to have one or more ratios that fall outside the usual range. Insurance companies generally submit data annually to the NAIC, which in turn analyzes the data using prescribed financial data ratios, each with defined “usual ranges”. Generally, regulators will begin to investigate or monitor an insurance company if its ratios fall outside the usual ranges for four or more of the ratios. IRIS consists of a statistical phase and an analytical phase whereby financial examiners review insurers’ annual statements and financial ratios. The statistical phase consists of 12 key financial ratios based on year-end data that are generated from the NAIC database annually; each ratio has a “usual range” of results.</w:t>
      </w:r>
    </w:p>
    <w:p>
      <w:pPr>
        <w:spacing w:after="0" w:line="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FGL Insurance, FGL NY Insurance, Raven Re and Corbeau Re had five, one, two and four ratios outside the usual range, respectively. The IRIS ratios for net and gross change to capital and surplus, total affiliated investments to capital and surplus, surplus relief - over $5 million capital and surplus and change in premium for FGL Insurance were outside the usual range. The IRIS ratio for change in premium ratio for FGL NY Insurance was outside the usual range. The IRIS ratios for adequacy of investment income and change in premium for Raven Re were outside the usual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range. The IRIS ratios for net income to total income (including realized capital gains and losses), adequacy of investment income, change in premium and change in asset mix for Corbeau Re were outside the usual range.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all instances in prior years, regulators have been satisfied upon follow-up that no regulatory action was required. FGL Insurance, FGL NY Insurance, Raven Re and Corbeau Re are not currently subject to regulatory restrictions based on these ratios.</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NAIC developed a group capital calculation tool using an RBC methodology for all entities within the insurance holding company system, including non-U.S. entities. In December 2020, the NAIC adopted the Group Capital Calculation Template and Instructions, as well as amendments to the Model Holding Company Act and Regulation. The amendments implement the annual filing requirement for the group capital calculation but will not become effective until adopted by state legislatures or regulatory agencies. FNF’s lead regulator, the Florida Office of Insurance Regulation, which is also the Company’s lead regulator for this purpose, adopted a requirement for group capital reporting in late 2025 that will be effective for year-end 2026 with filing required in the first half of 2027.</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State insurance laws require insurers to analyze the adequacy of reserves. Following the implementation of principle-based reserving for life insurance products, the NAIC is now developing a principle-based reserving framework for fixed annuity products. The respective appointed actuaries for FGL Insurance, FGL NY Insurance, Raven Re and Corbeau Re must each submit an opinion on an annual basis that their respective reserves, when considered in light of the respective assets FGL Insurance, FGL NY Insurance, Raven Re and Corbeau Re hold with respect to those reserves, make adequate provision for the contractual obligations and related expenses of FGL Insurance, FGL NY Insurance, Raven Re and Corbeau Re. FGL Insurance, FGL NY Insurance, Raven Re and Corbeau Re have filed all of the required opinions with the insurance departments in the states in which they do business.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States regulate the extent to which insurers are permitted to take credit on their financial statements for the financial obligations that the insurers cede to reinsurers. Where an insurer cedes obligations to a reinsurer that is neither licensed nor accredited by the state insurance department, the ceding insurer is not permitted to take such financial statement credit unless the unlicensed or unaccredited reinsurer secures the liabilities it will owe under the reinsurance contract.</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laws regulating credit for reinsurance issued by such unlicensed or unaccredited reinsurers, the permissible means of securing such liabilities are (i) the establishment of a trust account by the reinsurer to hold certain qualifying assets in a qualified U.S. financial institution, such as a member of the Federal Reserve, with the ceding insurer as the exclusive beneficiary of such trust account with the unconditional right to demand, without notice to the reinsurer, that the trustee pay over to it the assets in the trust account equal to the liabilities owed by the reinsurer; (ii) the posting of an unconditional and irrevocable letter of credit by a qualified U.S. financial institution in favor of the ceding company allowing the ceding company to draw upon the letter of credit up to the amount of the unpaid liabilities of the reinsurer; and (iii) a “funds withheld” arrangement by which the ceding company withholds transfer to the reinsurer of the assets, which support the liabilities to be owed by the reinsurer, with the ceding insurer retaining title to and exclusive control over such assets.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addition, all U.S. states, including Iowa and New York, permit an insurer to take credit for reinsurance ceded to a non-U.S. reinsurer that posts collateral in amounts less than 100% of the reinsurer’s obligations if the reinsurer has been designated as a “certified reinsurer” and is domiciled in a country recognized by the state and the NAIC as a “Qualified Jurisdiction.” The reduced percentage of full collateral applied to a certified reinsurer is based upon an assessment of the reinsurer and its financial ratings. Iowa and New York both also recognize certain qualified non-U.S. insurers as reciprocal jurisdiction reinsurers such that ceding domestic insurers may receive credit for reinsurance ceded to such unauthorized reinsurers without the requirement for the reinsurer to provide collateral.</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FGL Insurance and FGL NY Insurance are subject to the credit for reinsurance rules described above in Iowa and New York, respectively, insofar as they enter into any reinsurance contracts with reinsurers that are neither licensed, accredited nor certified in Iowa and New York, respectively, or recognized as a reciprocal reinsurer in such jurisdictions.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F&amp;G, as the indirect parent company of FGL Insurance and FGL NY Insurance, is subject to the insurance holding company laws in Iowa and New York. These laws generally require each insurance company directly or indirectly owned by the holding company to register with the insurance department in the insurance company’s state of domicile and to furnish annually financial and other information about the operations of companies within the holding company system. Generally, all transactions between insurers and affiliates within the holding company system are subject to regulation and must be fair and reasonable, and may require prior notice and approval or non-disapproval by its domiciliary insurance regulator.</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Most states, including Iowa and New York, have insurance laws that require regulatory approval of a direct or indirect change of control of an insurer or an insurer’s holding company. Such laws prevent any person from acquiring control, directly or indirectly, of F&amp;G, FGL US Holdings Inc. (“FGL US Holdings”), CF Bermuda Holdings Limited (“CF Bermuda”), Fidelity &amp; Guaranty Life Holdings, Inc. ("FGLH"), FGL Insurance or FGL NY Insurance or certain of their affiliates unless that person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has filed a statement with specified information with the insurance regulators and has obtained their prior approval. In addition, investors deemed to have a direct or indirect controlling interest are required to make regulatory filings and respond to regulatory inquiries. Under most states’ statutes, including those of Iowa and New York, acquiring 10% or more of the voting stock of an insurance company or its parent company is presumptively considered a change of control, although such presumption may be rebutted. In addition, the insurance laws of Iowa and New York permit a determination of control in circumstances where the thresholds for the presumption of control have not been crossed. Similar laws apply to a direct or indirect change of ownership of Raven Re and Corbeau Re. Any person who is deemed to acquire control over F&amp;G, FNF, FGL US Holdings, CF Bermuda, FGLH, FGL Insurance, FGL NY Insurance, Raven Re, Corbeau Re or certain of their affiliates including any person who acquires 10% or more of our or FNF’s voting securities of FGL Insurance, FGL NY Insurance or certain of their affiliates, without the prior approval of the insurance regulators of Iowa and New York, will be in violation of those states’ laws and may be subject to injunctive action requiring the disposition or seizure of those securities by the relevant insurance regulator or prohibiting the voting of those securities and to other actions determined by the relevant insurance regulator.</w:t>
      </w:r>
    </w:p>
    <w:p>
      <w:pPr>
        <w:spacing w:after="0" w:line="6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Each state has insurance guaranty association laws under which insurers doing business in the state may be assessed by state insurance guaranty associations for certain obligations of insolvent insurance companies to policyholders and claimants. Typically, states assess each member insurer in an amount related to the member insurer’s proportionate share of the business written by all member insurers in the state. Although no prediction can be made as to the amount and timing of any future assessments under these laws, FGL Insurance and FGL NY Insurance have established reserves that they believe are adequate for assessments relating to insurance companies that are currently subject to insolvency proceedings.</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State insurance laws and regulations include numerous provisions governing the marketplace activities of insurers, including provisions governing the form and content of disclosure to consumers, illustrations, advertising, sales and complaint process practices. State regulatory authorities generally enforce these provisions through periodic market conduct examinations. In addition, FGL Insurance and FGL NY Insurance must file, and in many jurisdictions and for some lines of business obtain regulatory approval for, rates and forms relating to the insurance written in the jurisdictions in which they operate. FGL Insurance is currently the subject of an ongoing market conduct examination in one state. Market conduct examinations can result in monetary fines or remediation and generally require FGL Insurance to devote significant resources to the management of such examinations. FGL Insurance does not believe that the current market conduct examination it is subject to will result in any fines or remediation orders that will be material to its business.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FGL Insurance, FGL NY Insurance, Raven Re and Corbeau Re are subject to state laws and regulations that require diversification of their investment portfolios and limit the amount of investments in certain asset categories, such as below investment grade fixed income securities, equity, real estate, other equity investments and derivatives. Failure to comply with these laws and regulations would cause investments exceeding regulatory limitations to be treated as either non-admitted assets for purposes of measuring surplus or as not qualified as an asset held for reserve purposes and, in some instances, would require divestiture or replacement of such non-qualifying investments. We believe that the investment portfolios of FGL Insurance, FGL NY Insurance, Raven Re and Corbeau Re as of December 31, 2025, complied in all material respects with such regulations.</w:t>
      </w:r>
    </w:p>
    <w:p>
      <w:pPr>
        <w:spacing w:after="0" w:line="5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operations are subject to certain federal and state laws and regulations that require financial institutions and other businesses to protect the security and confidentiality of personal information, including health-related and customer information, and to notify customers and other individuals about their policies and practices relating to their collection and disclosure of health-related and customer information and their practices relating to protecting the security and confidentiality of such information. These laws and regulations require notice to affected individuals, law enforcement agencies, regulators and others if there is a breach of the security of certain personal information, including social security numbers, and require holders of certain personal information to protect the security of the data. Our operations are also subject to certain federal regulations that require financial institutions and creditors to implement effective programs to detect, prevent, and mitigate identity theft. In addition, our ability to make telemarketing calls and to send unsolicited e-mail or fax messages to consumers and customers and our uses of certain personal information, including consumer report information, are regulated. Federal and state governments and regulatory bodies may be expected to consider additional or more detailed regulation regarding these subjects and the privacy and security of personal information.</w:t>
      </w:r>
    </w:p>
    <w:p>
      <w:pPr>
        <w:spacing w:after="0" w:line="64"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The Dodd-Frank Wall Street Reform and Consumer Protection Act (“The Dodd-Frank Act”) established the Federal Insurance Office (“FIO”) within the U.S. Department of the Treasury to monitor all aspects of the insurance industry and of lines of business other than certain health insurance, certain long-term care insurance and crop insurance. Although the FIO currently does not directly regulate the insurance industry, FIO does monitor and scrutinize developments in the industry. FIO publications or reports, some of which are periodically submitted to Congress, could continue to increase scrutiny of the industry and ultimately lead to changes in the regulation of insurers and reinsurers in the United States, which could negatively impact our insurance business. The Dodd-Frank Act made sweeping changes to the regulation of financial services entities,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products and markets. Certain provisions of the Dodd-Frank Act are applicable to us, our competitors or those entities with which we do business. Further, certain provisions of the Dodd-Frank Act may become applicable to us, our competitors, or certain entities with which we do business. These provisions may impact us in many ways, including, but not limited to, having an effect on the overall business climate, requiring the allocation of certain resources to government affairs, and increasing our legal and compliance related activities and the costs associated therewith. For example, it is possible that regulations issued by the Consumer Financial Protection Bureau may extend, or be interpreted to extend, to the sale of certain insurance products by covered financial institutions, which could adversely affect sales of such products. The FIO, in response to various studies it conducts, may also recommend changes in laws or regulations that affect our business. There may be further federal involvement in the business of insurance in the future, which may add significant legal complexity and associated costs to our business.</w:t>
      </w:r>
    </w:p>
    <w:p>
      <w:pPr>
        <w:spacing w:after="0" w:line="5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the Dodd-Frank Act, annuities that meet specific requirements, including requirements relating to certain state suitability rules, are specifically exempted from being treated as securities by the SEC. We believe that the types of indexed annuities that FGL Insurance and FGL NY Insurance sell will meet these requirements and, therefore, are exempt from being treated as securities by the SEC and state securities regulators. However, there can be no assurance that federal or state securities laws or state insurance laws and regulations will not be amended or interpreted to impose further requirements on indexed annuities. If indexed annuities were to be treated as securities, federal and state securities laws would require additional registration and licensing of these products and the agents selling them, and FGL Insurance and FGL NY Insurance would be required to seek additional marketing relationships for these products, any of which could impose significant restrictions on its ability to conduct operations as currently operated. However, our RILA product is not exempted from being treated as a security by the SEC.</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Additionally, the Dodd-Frank Act established the Financial Stability Oversight Council (“FSOC”), which plays a role in shaping the regulatory environment affecting RILAs and other insurance products that are connected to the capital markets. The FSOC monitors systemic risks and may designate insurers offering RILAs, as well as certain other products, as systemically important financial institutions if their activities pose significant risks to the broader economy, subjecting them to enhanced prudential standards and supervision by the Board of Governors of the United States Federal Reserve. The prudential standards for non-bank Systemically Important Financial Institutions (“SIFIs”) include enhanced RBC (Risk-Based Capital) requirements, leverage limits, liquidity requirements, single counterparty exposure limits, governance requirements for risk management, stress test requirements, special debt-to-equity limits for certain companies, early remediation procedures, and recovery and resolution planning.</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may offer certain insurance and annuity products to employee benefit plans governed by ERISA and/or the Internal Revenue Code (the "Code"), including group annuity contracts designated to fund tax-qualified retirement plans. ERISA and the Code provide (among other requirements) standards of conduct for employee benefit plan fiduciaries, including investment managers and investment advisers with respect to the assets of such plans, and holds fiduciaries liable if they fail to satisfy fiduciary standards of conduct.</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State and federal regulators have been adopting stronger consumer protection regulations that may materially impact our company, business, distribution and products. The NAIC adopted an amended Suitability in Annuity Transactions Model Regulation in February 2020 incorporating a requirement that agents act in the best interest of consumers without putting their own financial interests or insurer’s interests ahead of consumer interests. The best interest requirement is satisfied by complying with four regulatory obligations relating to care, disclosure, conflict of interest and documentation. The amended model regulation also requires agents to provide certain disclosures to consumers, obligates insurers to supervise agent compliance with the new requirements and prohibits sales contests or other incentives based on sales of specific annuities within a limited period of time.</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All 50 states have adopted the revised NAIC model regulation, including FGL Insurance’s domiciliary state of Iowa. Management has instituted business procedures to comply with these revised requirements where required. FGL NY Insurance separately instituted new business procedures in response to the NYDFS best interest rule adopted in August 2019, which survived a legal challenge and deviates from the NAIC model regulation and is considered more onerous in certain respects including its broader application to life insurance sales.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December 2020 the U. S. Department of Labor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ERISA and the Code and sets forth a new prohibited transaction class exemption ("PTE") referred to as PTE 2020-02. The rule’s preamble also contains the DOL’s reinterpretation of elements of the five-part test that appears to encompass more insurance agents selling individual retirement account ("IRA") products and withdraws the agency’s longstanding position that rollover recommendations out of employer plans are not subject to ERISA. The new rule took effect on February 16, 2021.</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5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DOL’s New Fiduciary Rule, which was scheduled to become effective on September 23, 2024, has been challenged. On July 25, 2024, in the case of </w:t>
      </w:r>
      <w:r>
        <w:rPr>
          <w:rFonts w:ascii="Times New Roman" w:cs="Times New Roman" w:eastAsia="Times New Roman" w:hAnsi="Times New Roman"/>
          <w:sz w:val="14"/>
          <w:szCs w:val="14"/>
          <w:i w:val="1"/>
          <w:iCs w:val="1"/>
          <w:color w:val="auto"/>
        </w:rPr>
        <w:t>Federation of Americans for Consumer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Choice, Inc., et al. v. United States Department of Labor, et al., </w:t>
      </w:r>
      <w:r>
        <w:rPr>
          <w:rFonts w:ascii="Times New Roman" w:cs="Times New Roman" w:eastAsia="Times New Roman" w:hAnsi="Times New Roman"/>
          <w:sz w:val="14"/>
          <w:szCs w:val="14"/>
          <w:color w:val="auto"/>
        </w:rPr>
        <w:t>(“Federation of Americans”) the United States District Court for the Eastern District of Texas (the “Eastern District of Texas”)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an order staying the effective date of the DOL’s New Fiduciary Rule (and related amendments to PTE 84-24) that was issued in March 2024. The Eastern District of Texas, in part relying on the Supreme Court’s recent ruling in </w:t>
      </w:r>
      <w:r>
        <w:rPr>
          <w:rFonts w:ascii="Times New Roman" w:cs="Times New Roman" w:eastAsia="Times New Roman" w:hAnsi="Times New Roman"/>
          <w:sz w:val="14"/>
          <w:szCs w:val="14"/>
          <w:i w:val="1"/>
          <w:iCs w:val="1"/>
          <w:color w:val="auto"/>
        </w:rPr>
        <w:t>Loper Bright Enterprises v. Raimondo</w:t>
      </w:r>
      <w:r>
        <w:rPr>
          <w:rFonts w:ascii="Times New Roman" w:cs="Times New Roman" w:eastAsia="Times New Roman" w:hAnsi="Times New Roman"/>
          <w:sz w:val="14"/>
          <w:szCs w:val="14"/>
          <w:color w:val="auto"/>
        </w:rPr>
        <w:t>, found that the plaintiffs (primarily insurance agents) were likely to succeed on their arguments that the New Fiduciary Rule improperly expanded the definition of an “investment advice fiduciary” under ERISA. As a result, the New Fiduciary Rule’s original effective date of September 23, 2024 was delayed until further notice.</w:t>
      </w:r>
    </w:p>
    <w:p>
      <w:pPr>
        <w:spacing w:after="0" w:line="228"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In addition, on July 26, 2024, a companion case to </w:t>
      </w:r>
      <w:r>
        <w:rPr>
          <w:rFonts w:ascii="Times New Roman" w:cs="Times New Roman" w:eastAsia="Times New Roman" w:hAnsi="Times New Roman"/>
          <w:sz w:val="14"/>
          <w:szCs w:val="14"/>
          <w:i w:val="1"/>
          <w:iCs w:val="1"/>
          <w:color w:val="auto"/>
        </w:rPr>
        <w:t>Federation of Americans</w:t>
      </w:r>
      <w:r>
        <w:rPr>
          <w:rFonts w:ascii="Times New Roman" w:cs="Times New Roman" w:eastAsia="Times New Roman" w:hAnsi="Times New Roman"/>
          <w:sz w:val="14"/>
          <w:szCs w:val="14"/>
          <w:color w:val="auto"/>
        </w:rPr>
        <w:t xml:space="preserve"> filed in the United States District Court for the Northern District of Texas, </w:t>
      </w:r>
      <w:r>
        <w:rPr>
          <w:rFonts w:ascii="Times New Roman" w:cs="Times New Roman" w:eastAsia="Times New Roman" w:hAnsi="Times New Roman"/>
          <w:sz w:val="14"/>
          <w:szCs w:val="14"/>
          <w:i w:val="1"/>
          <w:iCs w:val="1"/>
          <w:color w:val="auto"/>
        </w:rPr>
        <w:t>American Council of Life Insurers, et al. 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United States Dep’t of Labor, et al., </w:t>
      </w:r>
      <w:r>
        <w:rPr>
          <w:rFonts w:ascii="Times New Roman" w:cs="Times New Roman" w:eastAsia="Times New Roman" w:hAnsi="Times New Roman"/>
          <w:sz w:val="14"/>
          <w:szCs w:val="14"/>
          <w:color w:val="auto"/>
        </w:rPr>
        <w:t>held the remaining PTE amendments included in the New Fiduciary Rule (PTEs 2020-02, 75-1, 77-4, 80-83, 83-1 and 86-128) that were not challenged in</w:t>
      </w:r>
      <w:r>
        <w:rPr>
          <w:rFonts w:ascii="Times New Roman" w:cs="Times New Roman" w:eastAsia="Times New Roman" w:hAnsi="Times New Roman"/>
          <w:sz w:val="14"/>
          <w:szCs w:val="14"/>
          <w:i w:val="1"/>
          <w:iCs w:val="1"/>
          <w:color w:val="auto"/>
        </w:rPr>
        <w:t xml:space="preserve"> Federation of Americans </w:t>
      </w:r>
      <w:r>
        <w:rPr>
          <w:rFonts w:ascii="Times New Roman" w:cs="Times New Roman" w:eastAsia="Times New Roman" w:hAnsi="Times New Roman"/>
          <w:sz w:val="14"/>
          <w:szCs w:val="14"/>
          <w:color w:val="auto"/>
        </w:rPr>
        <w:t>were also stayed, noting that the Northern District fully agreed with the Eastern District’s analysis and decision to stay the effective date of the New Fiduciary Rule.</w:t>
      </w:r>
    </w:p>
    <w:p>
      <w:pPr>
        <w:spacing w:after="0" w:line="51"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On September 20, 2024, the DOL appealed both rulings to the Fifth Circuit Court of Appeals. In early 2025, the DOL filed successive unopposed motions to hold the appeals in abeyance to allow new agency officials time to become familiar with the issues in these cases and determine how they wish to proceed. The motions were granted so the appeals were in abeyance. In November 2025, the DOL moved to voluntarily dismiss their appeals and the Fifth Circuit agreed and remanded the cases to the District Courts. The DOL has moved the District Courts to allow until March 2026 to determine their position and next steps with the cases. Adverse Texas District Court rulings could have harmful effects on the insurance industry, creating additional hurdles to operate our business.</w:t>
      </w:r>
    </w:p>
    <w:p>
      <w:pPr>
        <w:spacing w:after="0" w:line="22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cannot predict the final outcome of the pending litigation regarding the New Fiduciary Rule; however, 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all of which could adversely impact our business, results of operations and/or financial condition. In addition to implementing the compliance procedures described above, management is monitoring further developments closely and will be working with IMOs and distributors to adapt to these evolving regulatory requirements and risks. See “Risk Factors—</w:t>
      </w:r>
      <w:r>
        <w:rPr>
          <w:rFonts w:ascii="Times New Roman" w:cs="Times New Roman" w:eastAsia="Times New Roman" w:hAnsi="Times New Roman"/>
          <w:sz w:val="14"/>
          <w:szCs w:val="14"/>
          <w:i w:val="1"/>
          <w:iCs w:val="1"/>
          <w:color w:val="auto"/>
        </w:rPr>
        <w:t>Risk Factors Relating to Government Regulation of the Insurance Industry—Current and emerging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developments relating to market conduct standards for the financial industry emerging from the United States Department of Labor’s (“DOL”) implementation of the “fiduciary rule” may over time materially affect our business.”</w:t>
      </w:r>
    </w:p>
    <w:p>
      <w:pPr>
        <w:spacing w:after="0" w:line="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New and recently passed legislation may also impact the industry in which F&amp;G competes. For example, the SECURE 2.0 Act of 2022, and for which relevant provisions went into effect on January 1, 2023, in certain respects, creates an opportunity for F&amp;G and its competitors to pursue sales to employer retirement plan sponsors as well as its traditional customers. In addition, F&amp;G and its competitors may implement operational changes to adapt to the effect of the new legislation. See “Risk Factors—Legal, Regulatory and Tax Risks</w:t>
      </w:r>
      <w:r>
        <w:rPr>
          <w:rFonts w:ascii="Times New Roman" w:cs="Times New Roman" w:eastAsia="Times New Roman" w:hAnsi="Times New Roman"/>
          <w:sz w:val="14"/>
          <w:szCs w:val="14"/>
          <w:i w:val="1"/>
          <w:iCs w:val="1"/>
          <w:color w:val="auto"/>
        </w:rPr>
        <w:t>—The SECURE 2.0 Act of 2022 may impact our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business and the markets in which we compete</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Regulation - Bermuda. </w:t>
      </w:r>
      <w:r>
        <w:rPr>
          <w:rFonts w:ascii="Times New Roman" w:cs="Times New Roman" w:eastAsia="Times New Roman" w:hAnsi="Times New Roman"/>
          <w:sz w:val="14"/>
          <w:szCs w:val="14"/>
          <w:color w:val="auto"/>
        </w:rPr>
        <w:t>F&amp;G Life Re is a Bermuda exempted company incorporated under the Companies Act 1981, as amended (the “Companies Act”) and registered as a Class E insurer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Insurance Act 1978, as amended, and its related regulations (the “Insurance Act”). F&amp;G Life Re is regulated by the Bermuda Monetary Authority (“BMA”).</w:t>
      </w:r>
    </w:p>
    <w:p>
      <w:pPr>
        <w:spacing w:after="0" w:line="2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February 19, 2026, F&amp;G announced the expected sale of its non-core Bermuda based subsidiary, F&amp;G Life Re, to Ancient Financial Holdings, LP (“Ancient”). The transaction is expected to be completed on March 1, 2026, subject to satisfaction or waiver of customary closing conditions.</w:t>
      </w:r>
    </w:p>
    <w:p>
      <w:pPr>
        <w:spacing w:after="0" w:line="5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Bermuda Insurance Act provides that no person may carry on an insurance business in or from within Bermuda unless registered as an insurer under the Bermuda Insurance Act by the BMA. In deciding whether to grant registration, the BMA has broad discretion to act as it thinks fit in the public interest. The BMA is required by the Bermuda Insurance Act to determine whether the applicant is a fit and proper body to be engaged in the insurance business and, in particular, whether it has, or has available to it, adequate knowledge and expertise. The registration of an applicant as an insurer is subject to the insurer complying with the terms of its registration and such other conditions as the BMA may impose at any time. In addition, the Bermuda Insurance Act requires BMA approval of increases in control or dispositions of control of an insurance company.</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Effective January 1, 2015, Bermuda was placed on the NAIC’s List of Qualified Jurisdictions, which makes Bermuda-domiciled reinsurers that meet certain criteria to qualify as a certified reinsurer eligible for reduced reinsurance collateral requirements under the NAIC’s Credit for Reinsurance Model Law and Regulations as adopted by various states.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Bermuda has been awarded full equivalence for commercial insurers under Europe’s Solvency II regime applicable to insurance companies, which regime came into effect on January 1, 2016.</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Effective January 1, 2020, Bermuda was granted NAIC Reciprocal Jurisdiction status, which makes Bermuda domiciled reinsurers that satisfy certain conditions eligible to be designated as a reciprocal jurisdiction reinsurer. Under the NAIC’s Credit for Reinsurance Model Law and Regulations which has been adopted by all states, a ceding insurer may take credit for reinsurance ceded to a reciprocal jurisdiction reinsurer without posting collateral.</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All insurers are required to implement corporate governance policies and processes as the BMA considers appropriate given the nature, size, complexity and risk profile of the insurer and all insurers, on an annual basis, are required to deliver a declaration to the BMA confirming whether or not they meet the minimum criteria for registration under the Bermuda Insurance Act.</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All insurers are required to comply with the Bermuda Insurance Code of Conduct, which is a codification of best practices for insurers provided by the BMA, and to submit annually to the BMA with its statutory financial return a declaration of compliance confirming it complies with the Bermuda Insurance Code of Conduct. All insurers are also required to comply with the Bermuda Insurance Sector Cyber Risk Management Code of Conduct issued by the BMA under the Bermuda Insurance Act, which establishes the duties, requirements, standards, procedures and principles to be complied with in relation to operational cyber risk management.</w:t>
      </w:r>
    </w:p>
    <w:p>
      <w:pPr>
        <w:spacing w:after="0" w:line="56"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The BMA utilizes a risk-based approach when it comes to licensing and supervising insurance and reinsurance companies. As part of the BMA’s risk-based system, an assessment of the inherent risks within each particular class of insurer or reinsurer is used to determine the limitations and specific requirements that may be imposed. Thereafter the BMA keeps its analysis of relative risk within individual institutions under review on an ongoing basis, including through the scrutiny of audited financial statements, and, as appropriate, meeting with senior management during onsite visits.</w:t>
      </w:r>
    </w:p>
    <w:p>
      <w:pPr>
        <w:spacing w:after="0" w:line="2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Bermuda Insurance Act imposes solvency and liquidity standards on Bermuda insurance companies, as well as auditing and reporting requirements. Certain significant aspects of the Bermuda insurance regulatory framework are set forth below.</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Minimum Solvency Margin. </w:t>
      </w:r>
      <w:r>
        <w:rPr>
          <w:rFonts w:ascii="Times New Roman" w:cs="Times New Roman" w:eastAsia="Times New Roman" w:hAnsi="Times New Roman"/>
          <w:sz w:val="14"/>
          <w:szCs w:val="14"/>
          <w:color w:val="auto"/>
        </w:rPr>
        <w:t>The Insurance Act provides that the value of the assets of an insurer must exceed the value of its liabilities by an amount greater than its prescribed minimum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solvency margin.</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minimum solvency margin that must be maintained by a Class E insurer is the greater of: (i) $8,000,000; (ii) 2% of first $500,000,000 of assets plus 1.5% of assets above $500,000,000; and (iii) 25% of that insurer’s enhanced capital requirement (“ECR”). An insurer may file an application under the Insurance Act to waive the aforementioned requirements.</w:t>
      </w:r>
    </w:p>
    <w:p>
      <w:pPr>
        <w:spacing w:after="0" w:line="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ECR and Bermuda Solvency Capital Requirements (“BSCR”)</w:t>
      </w:r>
      <w:r>
        <w:rPr>
          <w:rFonts w:ascii="Times New Roman" w:cs="Times New Roman" w:eastAsia="Times New Roman" w:hAnsi="Times New Roman"/>
          <w:sz w:val="14"/>
          <w:szCs w:val="14"/>
          <w:color w:val="auto"/>
        </w:rPr>
        <w:t>. Class E insurers are required to maintain available capital and surplus at a level equal to or in excess of the applicable ECR,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established by reference to either the applicable BSCR model or an approved internal capital model. Furthermore, to enable the BMA to better assess the quality of the insurer’s capital resources, a Class E insurer is required to disclose the makeup of its capital in accordance with its 3-tiered capital system. An insurer may file an application under the Insurance Act to have the aforementioned ECR requirements waived.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Restrictions on Dividends and Distributions. </w:t>
      </w:r>
      <w:r>
        <w:rPr>
          <w:rFonts w:ascii="Times New Roman" w:cs="Times New Roman" w:eastAsia="Times New Roman" w:hAnsi="Times New Roman"/>
          <w:sz w:val="14"/>
          <w:szCs w:val="14"/>
          <w:color w:val="auto"/>
        </w:rPr>
        <w:t>In addition to the requirements under the Companies Act (as discussed below), the Insurance Act limits the maximum amount of annual dividends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distributions that may be paid or distributed by F&amp;G Life Re without prior regulatory approval.</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 event a dividend complies with the above, F&amp;G Life Re must ensure the amount of any such dividend does not exceed that excess.</w:t>
      </w:r>
    </w:p>
    <w:p>
      <w:pPr>
        <w:spacing w:after="0" w:line="5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Furthermore, as a Class E insurer, F&amp;G Life Re must not declare or pay a dividend in any financial year which would exceed 25% of its total capital and statutory surplus, as set out in its previous year’s Bermuda statutory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w:t>
      </w:r>
    </w:p>
    <w:p>
      <w:pPr>
        <w:spacing w:after="0" w:line="2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Companies Act also limits F&amp;G Life Re’s ability to pay dividends and make distributions to its shareholders. F&amp;G Life Re is not permitted 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Reduction of Capital. </w:t>
      </w:r>
      <w:r>
        <w:rPr>
          <w:rFonts w:ascii="Times New Roman" w:cs="Times New Roman" w:eastAsia="Times New Roman" w:hAnsi="Times New Roman"/>
          <w:sz w:val="14"/>
          <w:szCs w:val="14"/>
          <w:color w:val="auto"/>
        </w:rPr>
        <w:t>F&amp;G Life Re may not reduce its total statutory capital by 15% or more, as set out in its previous year’s financial statements, unless it has received the prior approval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BMA. Total statutory capital consists of the insurer’s paid in share capital, its contributed surplus (sometimes called additional paid in capital) and any other fixed capital designated by the BMA as statutory capital.</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Regulation - Cayman. </w:t>
      </w:r>
      <w:r>
        <w:rPr>
          <w:rFonts w:ascii="Times New Roman" w:cs="Times New Roman" w:eastAsia="Times New Roman" w:hAnsi="Times New Roman"/>
          <w:sz w:val="14"/>
          <w:szCs w:val="14"/>
          <w:color w:val="auto"/>
        </w:rPr>
        <w:t>F&amp;G Cayman Re Ltd. ("F&amp;G Cayman Re") is licensed as a class D insurer in the Cayman Islands by the Cayman Islands Monetary Authority (“CIMA”). As a regulated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company, F&amp;G Cayman Re is subject to the supervision of CIMA and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laws and regulations of the Cayman Islands require that, among other things, F&amp;G Cayman Re maintain minimum levels of statutory capital, surplus and liquidity, meet solvency standards,</w:t>
      </w:r>
    </w:p>
    <w:p>
      <w:pPr>
        <w:spacing w:after="0" w:line="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submit to periodic examinations of its financial condition and restrict payments of dividends and reductions of capital. Statutes, regulations and policies that F&amp;G Cayman Re is subject to may also restrict the ability of F&amp;G Cayman Re to write insurance and reinsurance policies, make certain investments and distribute funds. Any failure to meet the applicable requirements or minimum statutory capital requirements could subject it to further examination or corrective action by CIMA, including restrictions on dividend payments, limitations on our writing of additional business or engaging in finance activities, supervision or liquidation.</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Sustainability</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 is dedicated to addressing those sustainability issues important to our strategic objectives. The Company’s senior management and Board of Directors have committed to understanding sustainability issues to better serve our employees, business partners and communities. To honor this commitment, the management team actively leads such efforts with oversight from the Audit Committee, which reports progress to the Board.</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While climate change does not materially impact FNF’s title insurance products and services, we believe maintaining a sustainable business starts with being transparent about our business practices, corporate governance, environmental impact and commitment to stakeholders. In 2019, we shared our inaugural Sustainability report. Since then, FNF has continuously enhanced our sustainability efforts and published annual progress updates. Additional information about our efforts and commitment to sustainable business practices is available on the Company’s sustainability page at www.fnf.com/sustainability.</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FNF’s core sustainability commitments include:</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Protecting Property Owners. </w:t>
      </w:r>
      <w:r>
        <w:rPr>
          <w:rFonts w:ascii="Times New Roman" w:cs="Times New Roman" w:eastAsia="Times New Roman" w:hAnsi="Times New Roman"/>
          <w:sz w:val="14"/>
          <w:szCs w:val="14"/>
          <w:color w:val="auto"/>
        </w:rPr>
        <w:t>Our policyholders depend on the strength and security of a reputable title insurance company to protect their property for years to come. As a provider of title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insurance, we protect the rights of the insured – both residential and commercial property owners – against fraudulent and unexpected legal and financial claims that may arise after closing.</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Consumer Data and Fraud Protection. </w:t>
      </w:r>
      <w:r>
        <w:rPr>
          <w:rFonts w:ascii="Times New Roman" w:cs="Times New Roman" w:eastAsia="Times New Roman" w:hAnsi="Times New Roman"/>
          <w:sz w:val="14"/>
          <w:szCs w:val="14"/>
          <w:color w:val="auto"/>
        </w:rPr>
        <w:t>The safety and security of our policyholders, customers, vendors and employees is a top priority. We maintain rigorous information security, internal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auditing protocols, and monitoring to protect funds and private information while in our custody. We continuously work hard to educate and protect our stakeholders from deceitful practices by enhancing fraud prevention programs.</w:t>
      </w:r>
    </w:p>
    <w:p>
      <w:pPr>
        <w:spacing w:after="0" w:line="49"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Preserving the Environment. </w:t>
      </w:r>
      <w:r>
        <w:rPr>
          <w:rFonts w:ascii="Times New Roman" w:cs="Times New Roman" w:eastAsia="Times New Roman" w:hAnsi="Times New Roman"/>
          <w:sz w:val="14"/>
          <w:szCs w:val="14"/>
          <w:color w:val="auto"/>
        </w:rPr>
        <w:t>FNF integrates environmental management practices into our operations, including facilities. As part of the Company's commitment to preserving the environment,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understand our duty to protect the local environments where we operate, and that climate change may present risks and opportunities for our business. Annually, we conduct a climate risk assessment to understand climate-related risks that may impact our business and to manage these risks through enterprise risk management systems.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are actively working to understand and reduce FNF’s environmental footprint across our locations. Efforts include monitoring and mitigating our carbon footprint, installing water filters to promote use of reusable water bottles, and participating in plastic, paper, and electronic recycling programs. FNF monitors its Scope 1 and 2 emissions at our Jacksonville headquarters and other leased and owned office locations. Emissions data for our Jacksonville headquarters location, and for select subsidiaries, is published in the most recent Sustainability report. As part of a traditionally paper-intensive industry, we have implemented customer-focused technology to significantly reduce paper consumption in real estate transactions demonstrating our commitment to moving the title insurance industry in a more sustainable direction.</w:t>
      </w:r>
    </w:p>
    <w:p>
      <w:pPr>
        <w:spacing w:after="0" w:line="5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Supporting Our Employees and Communities. </w:t>
      </w:r>
      <w:r>
        <w:rPr>
          <w:rFonts w:ascii="Times New Roman" w:cs="Times New Roman" w:eastAsia="Times New Roman" w:hAnsi="Times New Roman"/>
          <w:sz w:val="14"/>
          <w:szCs w:val="14"/>
          <w:color w:val="auto"/>
        </w:rPr>
        <w:t>As one of FNF's greatest assets, we are dedicated to providing employees with opportunities to expand their knowledge base and develop skills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career advancement. Additionally, we are committed to building a diverse and inclusive workforce, and we strongly believe the diversity of our clients should be reflected among our employees. With over 1,300 locations throughout the United States and Canada and over 24,000 employees, we are positioned to make a difference within our communities. Through local community involvement, corporate initiatives, philanthropic giving, and an active community volunteer ethos, we work hard each day to support the communities in which we live and operate.</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Highest Standard of Conduct. </w:t>
      </w:r>
      <w:r>
        <w:rPr>
          <w:rFonts w:ascii="Times New Roman" w:cs="Times New Roman" w:eastAsia="Times New Roman" w:hAnsi="Times New Roman"/>
          <w:sz w:val="14"/>
          <w:szCs w:val="14"/>
          <w:color w:val="auto"/>
        </w:rPr>
        <w:t>We adhere to all related laws, regulations and principles of conduct to protect the public’s trust, ensure conscientious performance and preserve FNF’s legacy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honesty and strong ethical standards. We firmly commit to upholding the Company’s core precepts, which inspire us to do our best each day. FNF implements robust governance practices, policies, trainings, and reporting avenues designed to encourage all employees to uphold the highest standards for business integrity.</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Human Capital Resources</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Employees. </w:t>
      </w:r>
      <w:r>
        <w:rPr>
          <w:rFonts w:ascii="Times New Roman" w:cs="Times New Roman" w:eastAsia="Times New Roman" w:hAnsi="Times New Roman"/>
          <w:sz w:val="14"/>
          <w:szCs w:val="14"/>
          <w:color w:val="auto"/>
        </w:rPr>
        <w:t>As of December 26, 2025, we employed 24,535 full-time equivalent employees, including 22,790 in our Title segment, 1,171 in our F&amp;G segment, and 574 in our Corporate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segment. In our Title segment, we monitor staffing levels based on current economic activity. None of our employees are subject to collective bargaining agreements. We believe relations with employees are good, as evidenced by our strong track record of employee retention.</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Diversity. </w:t>
      </w:r>
      <w:r>
        <w:rPr>
          <w:rFonts w:ascii="Times New Roman" w:cs="Times New Roman" w:eastAsia="Times New Roman" w:hAnsi="Times New Roman"/>
          <w:sz w:val="14"/>
          <w:szCs w:val="14"/>
          <w:color w:val="auto"/>
        </w:rPr>
        <w:t>FNF aims to implement diverse and inclusive practices in all aspects of business operations; and the diversity of our employees contributes to our success by offering our clientele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meaningful customized products and services. We are committed to being an equal opportunity employer and to compliance with all federal, state and local laws that prohibit employment discrimination on the basis of race, color, religion, age, sex, pregnancy, national origin, ancestry, citizenship status, veteran status, marital status, physical or mental disability, sexual orientation, gender identity or expression, genetic information and any other characteristic protected by applicable federal, state or local laws.</w:t>
      </w:r>
    </w:p>
    <w:p>
      <w:pPr>
        <w:spacing w:after="0" w:line="5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Board of Directors leads by example in its commitment to diversity. In 2018, the board codified into our Corporate Governance Guidelines its commitment to diversity when selecting new director nominees, including candidates with a diversity of viewpoints, background, experience, and other demographics including age, gender, nationality, race, ethnicity, and sexual orientation.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FNF’s Code of Business Conduct &amp; Ethics prohibits discrimination and harassment, and we distribute a written nondiscrimination policy to all employees as part of the employee handbook. Employees participate in annual training courses on topics such as the FNF Code of Business Conduct and Ethics, anti-harassment and discrimination. Employees must acknowledge the FNF Code of Business Conduct and Ethics annually. FNF publishes its Diversity and Inclusion policy statement on the sustainability website at www.fnf.com/sustainability.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many women in leadership roles throughout our organization. As of December 31, 2025, out of the 18,764 U.S. based employees under FNF, 69% of the total workforce are women and 31% are men. Two out of eleven board members are women, 43% percent of the members of FNF’s Executive Team are women, and 68% of FNF’s non-executive managers are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women. Our annual Women in Leadership Program for female executives, managers, and future managers provides mentoring and development opportunities encouraging and promoting women into more active leadership roles within the Company.</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Training and Professional Development</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believe our employees are one of the Company’s greatest assets, and we are committed to providing opportunities for them to expand their knowledge base and develop skills for advancement, resulting in improved employee performance and morale.</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FNF offers a variety of training and educational opportunities for employees including, but not limited to, training on escrow policies and procedures, advanced escrow processing and practices, title loss reduction, title underwriting, advanced title practices and procedures, fraud prevention, data privacy, safe and responsible AI usage, as well as leadership effectiveness, software, soft skills, sales, and time management trainings. Our Commercial Sales University is a course for new commercial sales representatives, and our Leadership Development Program provides employees with mentorship from senior executives.</w:t>
      </w:r>
    </w:p>
    <w:p>
      <w:pPr>
        <w:spacing w:after="0" w:line="54"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Leadership Development Program. </w:t>
      </w:r>
      <w:r>
        <w:rPr>
          <w:rFonts w:ascii="Times New Roman" w:cs="Times New Roman" w:eastAsia="Times New Roman" w:hAnsi="Times New Roman"/>
          <w:sz w:val="14"/>
          <w:szCs w:val="14"/>
          <w:color w:val="auto"/>
        </w:rPr>
        <w:t>Our Leadership Development Program helps employees advance their careers through professional development. Candidates are nominated once a year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manager to participate in an intensive program, where they are asked to prepare and present a manager’s report and to participate in preparing an annual budget. The program includes thought-provoking discussions between candidates and our management team about leadership, business, the economy, and other industry-related topics. This process enables candidates to gain a better understanding of our Company culture and management expectations. Candidates also gain access to mentorship and engagement with senior executives.</w:t>
      </w:r>
    </w:p>
    <w:p>
      <w:pPr>
        <w:spacing w:after="0" w:line="5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Many departments provide Continuing Education and Continuing Legal Education opportunities for state land title and legal associations. Some offices provide financial assistance to join professional organizations and offer education reimbursement.</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Financial Information by Operating Segment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financial information by operating segment, see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to our Consolidated Financial Statements included in Item 8 of Part II of this Annual Report.</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Statement Regarding Forward-Looking Information</w:t>
      </w:r>
    </w:p>
    <w:p>
      <w:pPr>
        <w:spacing w:after="0" w:line="96" w:lineRule="exact"/>
        <w:rPr>
          <w:sz w:val="20"/>
          <w:szCs w:val="20"/>
          <w:color w:val="auto"/>
        </w:rPr>
      </w:pPr>
    </w:p>
    <w:p>
      <w:pPr>
        <w:jc w:val="both"/>
        <w:ind w:firstLine="258"/>
        <w:spacing w:after="0" w:line="259" w:lineRule="auto"/>
        <w:rPr>
          <w:sz w:val="20"/>
          <w:szCs w:val="20"/>
          <w:color w:val="auto"/>
        </w:rPr>
      </w:pPr>
      <w:r>
        <w:rPr>
          <w:rFonts w:ascii="Times New Roman" w:cs="Times New Roman" w:eastAsia="Times New Roman" w:hAnsi="Times New Roman"/>
          <w:sz w:val="14"/>
          <w:szCs w:val="14"/>
          <w:color w:val="auto"/>
        </w:rPr>
        <w:t>The statements contained in this Annual Report or in our other documents or in oral presentations or other statements made by our management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61" w:lineRule="exact"/>
        <w:rPr>
          <w:sz w:val="20"/>
          <w:szCs w:val="20"/>
          <w:color w:val="auto"/>
        </w:rPr>
      </w:pPr>
    </w:p>
    <w:p>
      <w:pPr>
        <w:ind w:left="520" w:hanging="260"/>
        <w:spacing w:after="0" w:line="26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the level of real estate activity, which may be caused by, among other things, high or increasing interest rates, a limited supply of mortgage funding, increased mortgage defaults, or a weak U.S. economy;</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severity of our title insurance claims;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downgrade of our credit rating by rating agencies;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extensive government regulation of our operating subsidiaries and adverse changes in applicable laws or regulations or in their application by regulators;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investigations of the title insurance industry;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 that could negatively affect our financial results and impair our operating 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concentration in the States of California and Texas are the source of approximately 12.2% and 14.1%, respectively, of our title insurance premiums;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distributions from our title insurance underwriters as our main source of cash flow;</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other title insurance companies;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economic, business, and political conditions, including changes in the financial markets related to inflation and geopolitical uncertainties;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to our business operations caused by the occurrence of a catastrophe or global crisis;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detailed in "Risk Factors" below and elsewhere in this Annual Report and in our other filings with the SEC.</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79"/>
        <w:spacing w:after="0" w:line="287" w:lineRule="auto"/>
        <w:rPr>
          <w:sz w:val="20"/>
          <w:szCs w:val="20"/>
          <w:color w:val="auto"/>
        </w:rPr>
      </w:pPr>
      <w:r>
        <w:rPr>
          <w:rFonts w:ascii="Times New Roman" w:cs="Times New Roman" w:eastAsia="Times New Roman" w:hAnsi="Times New Roman"/>
          <w:sz w:val="14"/>
          <w:szCs w:val="14"/>
          <w:color w:val="auto"/>
        </w:rPr>
        <w:t>We are not under any obligation (and expressly disclaim any such obligation) to update or alter our forward-looking statements, whether as a result of new information, future events or otherwise. You should carefully consider the possibility that actual results may differ materially from our forward-looking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Additional Information</w:t>
      </w:r>
    </w:p>
    <w:p>
      <w:pPr>
        <w:spacing w:after="0" w:line="85"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website address is www.fnf.com. We make available free of charge on or through our website our Annual Report on Form 10-K, Quarterly Reports on Form 10-Q, Current Reports on Form 8-K and all amendments to those reports filed or furnished pursuant to Section 13(a) or 15(d) of the Exchange Act as soon as reasonably practicable after such material is electronically filed with or furnished to the SEC. However, the information found on our website is not part of this or any other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addition to the normal risks of business, we are subject to significant risks and uncertainties, including those listed below and others described elsewhere in this Annual Report. Any of the risks described herein could result in a significant or material adverse effect on our results of operations or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Market Conditions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economic and credit market conditions deteriorate, it could have a material adverse impact on our investment portfolio and could also cause our stock price to fluctuate significantly.</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investment portfolio is exposed to economic and financial market risks, including changes in interest rates, credit markets and prices of marketable equity and fixed-income securities. Our investment policy in our title business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Economic and credit market conditions may adversely affect the ability of some issuers of investment securities to repay their obligations and affect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62" w:lineRule="exact"/>
        <w:rPr>
          <w:sz w:val="20"/>
          <w:szCs w:val="20"/>
          <w:color w:val="auto"/>
        </w:rPr>
      </w:pPr>
    </w:p>
    <w:p>
      <w:pPr>
        <w:jc w:val="both"/>
        <w:ind w:firstLine="255"/>
        <w:spacing w:after="0" w:line="253" w:lineRule="auto"/>
        <w:rPr>
          <w:sz w:val="20"/>
          <w:szCs w:val="20"/>
          <w:color w:val="auto"/>
        </w:rPr>
      </w:pPr>
      <w:r>
        <w:rPr>
          <w:rFonts w:ascii="Times New Roman" w:cs="Times New Roman" w:eastAsia="Times New Roman" w:hAnsi="Times New Roman"/>
          <w:sz w:val="14"/>
          <w:szCs w:val="14"/>
          <w:color w:val="auto"/>
        </w:rPr>
        <w:t>Fixed maturities, equity securities and derivatives represent the majority of total cash and invested assets reported at fair value on our balance sheets.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5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w:t>
      </w:r>
    </w:p>
    <w:p>
      <w:pPr>
        <w:spacing w:after="0" w:line="29"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In addition, many factors unrelated to our business could cause the market price of our common stock to rise and fall, including the operating and stock price performance of other comparable companies, investors’ general perception of our industry and changes in general economic and market conditions.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that, even if successfully defended, could be costly to defend and a distraction to management.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market volatility could negatively impact our business.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estimated cost of providing GMWB riders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Market Risk Benefit ("MRB") or contractholder funds balance liabilities associated with such products, resulting in a reduction in our revenues and net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Conditions in the economy generally could adversely affect our business, results of operations and financial condition.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results of operations are materially affected by conditions in the U.S. economy. Adverse economic conditions may result in a decline in revenues and/or erosion of our profit margins. In addition, in the event of extreme prolonged market events and economic downturns, we could incur significant losses. Even in the absence of a market downturn we are exposed to substantial risk of loss due to market volatility.</w:t>
      </w:r>
    </w:p>
    <w:p>
      <w:pPr>
        <w:spacing w:after="0" w:line="40" w:lineRule="exact"/>
        <w:rPr>
          <w:sz w:val="20"/>
          <w:szCs w:val="20"/>
          <w:color w:val="auto"/>
        </w:rPr>
      </w:pPr>
    </w:p>
    <w:p>
      <w:pPr>
        <w:jc w:val="both"/>
        <w:ind w:firstLine="255"/>
        <w:spacing w:after="0" w:line="241" w:lineRule="auto"/>
        <w:rPr>
          <w:sz w:val="20"/>
          <w:szCs w:val="20"/>
          <w:color w:val="auto"/>
        </w:rPr>
      </w:pPr>
      <w:r>
        <w:rPr>
          <w:rFonts w:ascii="Times New Roman" w:cs="Times New Roman" w:eastAsia="Times New Roman" w:hAnsi="Times New Roman"/>
          <w:sz w:val="14"/>
          <w:szCs w:val="14"/>
          <w:color w:val="auto"/>
        </w:rPr>
        <w:t>Factors such as consumer spending, business investment, government spending, government shutdowns and potential government shutdowns, trade policies, tariffs, the volatility and strength of the capital markets, investor and consumer confidence, foreign currency exchange rates, geopolitical uncertainties and inflation levels all affect the business and economic environment and, ultimately, the amount and profitability of our business. In an economic downturn characterized by higher unemployment, lower family income, negative investor sentiment and lower consumer spending, the demand for our insurance products could be adversely affected. Under such conditions, our F&amp;G segment may also experience an elevated incidence of policy lapses, policy loans, withdrawals and surrenders. In addition, our investments could be adversely affected as a result of deteriorating financial and business conditions affecting the issuers of the securities in our investment portfolio.</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are subject to market and credit risks. These risks could be heightened during periods of extreme volatility or disruption in financial and credit markets.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worsening business climate or changing trends could cause issuers of the fixed-income securities that we own to default on either principal or interest payments. Additionally, market price valuations may not accurately reflect the underlying expected cash flows of securities within our investment portfolio. If we fail to react appropriately to difficult market or economic conditions, our investment portfolio could incur material losses.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 fixed income instruments in our investment portfolio. Significant volatility and lack of liquidity in the credit markets could cause the market value of the fixed-income securities we own to decline. Additionally, market price valuations may not accurately reflect the underlying expected cash flows of securities within our investment portfolio. Finally, market volatility could cause investment income fluctuations in regard to our alternative investments that may differ significantly from period to period.</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maintain holdings in floating rate and less rate-sensitive investments, including senior tranches of CLOs and directly originated senior secured loans. If realized collateral loss and recoveries differ materially from our assumptions, returns on these assets could be lower than our expectation.</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invest in ABS (traditional and specialty finance) and asset-backed and consumer whole loans. Consumer balance sheets are healthy and underwriting standards have become more conservative following the 2008 global financial crisis. However, high inflation rates have been a headwind for consumers, and efforts by the Federal Reserve to stem inflation could induce a recession which would have an adverse impact on consumers and potentially increase delinquencies to a higher level than what is assumed in our underwriting.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adverse changes in the levels of real estate activity occur, our revenues may decline.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Title insurance revenue is closely related to the level of real estate activity that includes sales, mortgage financing and mortgage refinancing. The levels of real estate activity are primarily affected by the average price of real estate sales, the availability of funds to finance purchases and mortgage interest rates.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found that residential real estate activity generally decreases in the following situations:</w:t>
      </w:r>
    </w:p>
    <w:p>
      <w:pPr>
        <w:spacing w:after="0" w:line="94"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mortgage interest rates are high or increasing;</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mortgage funding supply is limited;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housing inventory is limited or home prices are high or increasing;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United States economy is weak, including high unemployment levels.</w:t>
      </w:r>
    </w:p>
    <w:p>
      <w:pPr>
        <w:spacing w:after="0" w:line="7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Declines in the level of real estate activity or the average price of real estate sales are likely to adversely affect our title insurance revenues. The Mortgage Bankers Association's ("MBA") Mortgage Finance Forecast as of February 17, 2026, reported an approximate $2.1 trillion mortgage origination market for 2025, which would be an approximately 22% increase from 2024 resulting primarily from an increase in refinance activity. The MBA predicts overall mortgage originations in 2026 will increase when compared to 2025 as a result of modest increases in both purchase and refinance activity. Our revenues in future periods will continue to be subject to these and other factors that are beyond our control and, as a result, are likely to fluctuate. See discussion under "Business Trends and Conditions" within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included in Item 7 of Part II of this Annual Report for further discussion of current market trends.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fluctuations could adversely affect our business, financial condition, liquidity, results of operations and cash flows.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rate risk is a significant market risk for us, as our F&amp;G segment issues interest rate sensitive obligations backed primarily by investments in fixed income assets. F&amp;G has executed some variable interest rate credit agreements, floating rate funding agreements and pay-float and receive-fixed interest rate swaps to reduce market risks from interest rate changes on its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earnings associated with its floating rate investments. All of these assets are subject to an element of market risk from changes in interest rates.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Prior to 2022, interest rates had been at or near historical low levels over the preceding several years. A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56"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Beginning in March 2022, the Federal Reserve increased the benchmark rate eleven times from approximately 0% to approximately 5.50% before pausing in the latter half of 2023. In September 2024, the Federal Reserve began reducing the benchmark rate ending 2024 at approximately 4.5%. By September 2025, the benchmark rate had declined to 4.00%–4.25%, and subsequent cuts in October and December 2025 brought the benchmark rate down further to approximately 3.50%–3.75%, with market expectations and Federal Reserve communications suggesting further possible reductions in 2026. Over the period since March 2022, market rates across the yield curve have risen. During periods of increasing interest rates,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 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or operating results. We have developed and maintain ALM programs and procedures that are, we believe, designed to mitigate interest rate risk by matching asset cash flows to expected liability cash flows, and robust inflows provide additional opportunities to allocate in force assets in support of new business, further mitigating potential losses due to disintermediation risk. In addition, we assess surrender charges on withdrawals in excess of allowable penalty-free amounts that occur during the surrender charge period. The significant new business written in recent years strengthens the surrender charge protection since the surrender charges are highest in the early years of a policy. There can be no assurance that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23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Liabilities that are held on our balance sheet at fair value, including embedded derivatives on our Indexed Annuity and IUL business and market risk benefits (“MRB”) on our indexed annuity and fixed rate annuity business, are sensitive to fluctuations in interest rates. Decreases in interest rates generally would have the impact of increasing the value of these liabilities, which will result in a reduction in our net income. Liabilities for future policy benefits (“FPB”) are valued using locked-in discount rates, and any changes in interest rates since the inception of those contracts are reflected in accumulated other comprehensive earnings (loss) ("AOCI"). Decreases in interest rates would result in a reduction in our AOCI.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current economic conditions, including higher interest rates, have not adversely affected our business, results of operations, and financial condition. However, we cannot predict if it will impact our business, results of operations, and financial condition in the future for the forgoing reasons. Higher interest rates have decreased the fair value of our investment security portfolio, primarily our fixed maturity securities, as of December 31, 2025 and December 31, 2024, resulting in our AOCI being a loss of $1.7 billion and $2.0 billion, respectively. See “</w:t>
      </w:r>
      <w:r>
        <w:rPr>
          <w:rFonts w:ascii="Times New Roman" w:cs="Times New Roman" w:eastAsia="Times New Roman" w:hAnsi="Times New Roman"/>
          <w:sz w:val="14"/>
          <w:szCs w:val="14"/>
          <w:i w:val="1"/>
          <w:iCs w:val="1"/>
          <w:color w:val="auto"/>
        </w:rPr>
        <w:t>Quantitative and Qualitative Disclosure about Market Risk</w:t>
      </w:r>
      <w:r>
        <w:rPr>
          <w:rFonts w:ascii="Times New Roman" w:cs="Times New Roman" w:eastAsia="Times New Roman" w:hAnsi="Times New Roman"/>
          <w:sz w:val="14"/>
          <w:szCs w:val="14"/>
          <w:color w:val="auto"/>
        </w:rPr>
        <w:t>” in this Annual Report on Form 10-K for a more detailed discussion of interest rate risk.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 is exposed to liquidity risk as a result of its other risks.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is exposed to liquidity risk, which is the risk that F&amp;G is unable to meet near-term obligations as they come due.</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Liquidity risk is a manifestation of events that are driven by other risk types, including market, insurance, investment, or operational risks. A liquidity shortfall may arise in the event of insufficient funding sources or an immediate and significant need for cash or collateral. In addition, it is possible that expected liquidity sources, such F&amp;G's minimum cash buffers, funding</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agreements through the FHLB or other credit facilities, may be unavailable or inadequate to satisfy the liquidity demands described below.</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has the following sources of liquidity exposure and associated drivers that trigger material liquidity demand. Those sources are:</w:t>
      </w:r>
    </w:p>
    <w:p>
      <w:pPr>
        <w:spacing w:after="0" w:line="94" w:lineRule="exact"/>
        <w:rPr>
          <w:sz w:val="20"/>
          <w:szCs w:val="20"/>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collateral market exposure: abrupt changes to interest rate, equity, and/or currency markets may increase collateral requirements to counterparties and create liquidity risk for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liability mismatch: there are liquidity risks associated with liabilities coming due prior to the matching asset cash flows.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cash flows: F&amp;G faces potential liquidity risks from unexpected cash demands due to severe mortality calamity, customer withdrawals, policy loans or lapse events. If such events were to occur, F&amp;G may face unexpectedly high levels of claim payments to policyholders.</w:t>
      </w:r>
    </w:p>
    <w:p>
      <w:pPr>
        <w:ind w:left="52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FHLB collateral: F&amp;G issues funding agreements to the FHLB for which eligible securities collateral is posted. If the value of the eligible securities declines significantly, and there is no available eligible security collateral in the portfolio, F&amp;G may need to supplement the collateral account with cash.</w:t>
      </w:r>
    </w:p>
    <w:p>
      <w:pPr>
        <w:ind w:left="52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Kubera NPA: F&amp;G issued a variable note purchase agreement to Kubera for which it may be liable to fund any shortfall in Kubera’s ability to pay its obligations under the amended reinsurance agreement with FGL Insurance, assuring such principal up to $435 million is timely paid.</w:t>
      </w:r>
    </w:p>
    <w:p>
      <w:pPr>
        <w:ind w:left="520" w:hanging="260"/>
        <w:spacing w:after="0" w:line="287"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Holding Company Liquidity: as a holding company, F&amp;G is required to make interest and expense payments to satisfy obligations. The holding company’s cash position is targeted at the minimum of two times fixed charge coverage ratio on an annual basis.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Our Business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Goodwill aggregated approximately $5,272 million, or 4.8% of our total assets, as of December 31, 2025.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For the years ended December 31, 2025, 2024, and 2023, no goodwill impairment charge was recorded. However, if economic conditions deteriorate,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ability to raise additional capital to fund our operations, limit our ability to react to changes in the economy or our industry and prevent us from meeting our obligations under our indebtedness.</w:t>
      </w:r>
    </w:p>
    <w:p>
      <w:pPr>
        <w:spacing w:after="0" w:line="37"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As of December 31, 2025, our outstanding debt was $4,400 million.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w:t>
      </w:r>
    </w:p>
    <w:p>
      <w:pPr>
        <w:spacing w:after="0" w:line="1" w:lineRule="exact"/>
        <w:rPr>
          <w:sz w:val="20"/>
          <w:szCs w:val="20"/>
          <w:color w:val="auto"/>
        </w:rPr>
      </w:pPr>
    </w:p>
    <w:p>
      <w:pPr>
        <w:jc w:val="both"/>
        <w:ind w:firstLine="5"/>
        <w:spacing w:after="0" w:line="259" w:lineRule="auto"/>
        <w:tabs>
          <w:tab w:leader="none" w:pos="20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for working capital, capital expenditures, debt service requirements, acquisitions and general corporate purposes in the future may be limited; (iii) we may be unable to adjust rapidly to changing market conditions; (iv) the debt service requirements of our other indebtedness could make it more difficult for us to satisfy our financial obligations; and (v) we may be vulnerable in a downturn in general economic conditions or in our business and we may be unable to carry out activities that are important to our growth.</w:t>
      </w:r>
    </w:p>
    <w:p>
      <w:pPr>
        <w:spacing w:after="0" w:line="5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time may increase the amount of our indebtedness, modify the terms of our financing arrangements, issue dividends, make capital expenditures and take other actions that may substantially increase our leverage.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face losses if our actual experience differs significantly from our reserve assumptions.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profitability depends significantly upon the extent to which our actual experience is consistent with the assumptions used in setting rates for our products and establishing liabilities for future life insurance, annuity and PRT policy benefits and claims. However, due to the nature of the underlying risks and the high degree of uncertainty associated with the determination of the liabilities for unpaid policy benefits and claims, we cannot determine precisely the amounts we will ultimately pay to settle these liabilities. As a result, we may experience volatility in our profitability and our reserves from period to period. To the extent that actual experience is less favorable than our underlying assumptions, we could be required to increase our liabilities, which may reduce our profitability and impact our financial strength.</w:t>
      </w:r>
    </w:p>
    <w:p>
      <w:pPr>
        <w:spacing w:after="0" w:line="58"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We have been issuing GMWB products since 2008. In our reserve calculations, we make assumptions for policyholder behavior as it relates to GMWB utilization. If emerging experience deviates from our assumptions on GMWB utilization, it could have a significant effect on our reserve levels and related results of operations. We will continue to monitor the GMWB utilization assumption and update our best estimate as applicable.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Item 7 of Part II of this Annual Report, under.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Critical Accounting Policies and Estimates</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management has historically sought to grow through acquisitions, both in our current lines of business as well as in lines of business outside of our traditional areas of focus or geographic areas. This expansion of our business subjects us to associated risks, such as risks and uncertainties associated with new companies, the diversion of management’s attention and lack of experience in operating unrelated businesses, and may affect our credit and ability to repay our debt.</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management has historically sought to grow through acquisitions, both in our current lines of business, as well as lines of business that are not directly tied to or synergistic with our current operations. Accordingly, we have in the past acquired, and may in the future acquire, businesses in industries or geographic areas with which management is less familiar than we are with our current businesses. These activities involve risks that could adversely affect our operating results, due to uncertainties involved with new companies,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holding company and depend on distributions from our subsidiaries for cash.</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2026, our title insurers may pay dividends or make distributions to us of approximately $437 million; however, insurance regulators have the authority to prohibit the payment of ordinary dividends or other payments by our title insurers to us if they determine that such payment could be adverse to our policyholders.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interrupted or compromised if we experience difficulties arising from outsourcing relationships.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If we do not maintain an effective outsourcing strategy or third-party providers do not perform as contracted, we may experience operational difficulties, increased costs and a loss of business that could have a material adverse effect on our results of operations. If there is a delay in our third-party providers’ introduction of our new products or if our third-party providers are unable to service our customers appropriately, we may experience a loss of business that could have a material adverse effect on our business, financial condition and results of operations. We have a formal vendor management program that follows a continuous lifecycle for third-party providers. The lifecycle includes an initial risk assessment for new relationships to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determine risk tier; vendor due diligence depending on the risk tier; contract management to effectively address all terms, conditions, duties and obligations, risks/issues identified; ongoing monitoring and management to ensure compliance with contract provisions and service level agreements; and termination/offboarding to ensure appropriate communication and any other requirements such as destruction of data.</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our key providers, distributors or other parties terminate important business arrangements with us, reduce their business with us or renew contracts on terms less favorable to us, which occurs from time to time, we may fail to meet our business objectives and targets, and our cash flows, results of operations and financial condition could be materially adversely affected.</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our reliance on third-party service providers that we do not control does not relieve us of our responsibilities and contractual, legal and other requirements. Any failure or negligence by such third-party service providers in carrying out their contractual duties may result in us becoming subjected to liability to parties who are harmed and ensuing litigation. Any litigation relating to such matters could be costly and time-consuming, and the outcome of any such litigation may be uncertain. Moreover, any adverse publicity arising from such litigation, even if the litigation is not successful, could adversely affect our reputation and sales of our products.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national marketing organizations and independent agents, sales of our products may be reduced.</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Within our F&amp;G segment, we must attract and retain our network of IMOs and independent agents to sell our products. Insurance companies compete vigorously for productive agents. We compete with other life insurance companies for marketers and agents primarily on the basis of our financial position, support services, compensation and product features. Such marketers and agents may promote products offered by other life insurance companies that offer a larger variety of products than we do. If we are unable to attract and retain a sufficient number of marketers and agents to sell our products, our ability to compete and our revenues would suffer.</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of our enterprise-wide risk management processes could result in unexpected monetary losses, damage to our reputation, additional costs or impairment of our ability to conduct business effectively.</w:t>
      </w:r>
    </w:p>
    <w:p>
      <w:pPr>
        <w:spacing w:after="0" w:line="37"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a large insurance entity and a publicly traded company, we have risk management functions, policies and procedures throughout our operations and management. These functions include but are not limited to departments dedicated to enterprise risk management and information technology risk management, information security, business continuity, lender strategy and contracts, and vendor risk management. Our policies and procedures have evolved over the years as we continually reassess our processes both internally and to comply with changes in the regulatory environment. Due to limitations inherent in any internal process, if our risk management processes prove unsuccessful at identifying and responding to risks, we could incur unexpected monetary losses, damage to our reputation, additional costs or impairment of our ability to conduct business effectively.</w:t>
      </w:r>
    </w:p>
    <w:p>
      <w:pPr>
        <w:spacing w:after="0" w:line="5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6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Company’s dealings with large mortgage lenders, servicers or government-sponsored enterprises could adversely affect our title insurance and mortgage servicing subsidiaries.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Large mortgage lenders, servicers and government-sponsored enterprises have significant influence over the products and services provided by our title insurance and mortgage servicing subsidiaries. Changes in our dealings with any of these lenders, servicers or the government-sponsored enterprises, the loss of all or a portion of the business derived from these parties or revisions to the government-sponsored enterprises’ selling or servicing guides related to title insurance or mortgage servicing, could have a material adverse effect on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the rating agencies downgrade our insurance companies, our results of operations and financial condition may suffer.</w:t>
      </w:r>
    </w:p>
    <w:p>
      <w:pPr>
        <w:spacing w:after="0" w:line="96"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Ratings have always been an important factor in establishing the competitive position of insurance companies. Our title insurance subsidiaries are rated by S&amp;P, Moody’s and Demotech. Our F&amp;G insurance subsidiaries are rated by A.M. Best, Fitch, Moody's and S&amp;P.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claim loss prevention procedures fail, we could incur significant claim losses.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the ordinary course of our title insurance business, we assume risks related to insuring clear title to residential and commercial properties. We have established procedures to mitigate the risk of loss from title claims, including extensive underwriting and risk assessment procedures. We also mitigate the risk of large claim losses by reinsuring risks with other insurers under excess of loss and case-by-case 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If inherent limitations cause our claim loss risk mitigation procedures to fail, we could incur substantial losses having an adverse effect on our results of operations or financial condition.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use of independent agents for a significant amount of our title insurance policies could adversely impact the frequency and severity of title claims.</w:t>
      </w:r>
    </w:p>
    <w:p>
      <w:pPr>
        <w:spacing w:after="0" w:line="96"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In our agency operations, an independent agent performs the search and examination function or the agent may purchase a search product from us. In either case, the agent is responsible for ensuring that the search and examination is completed. The agent thus retains the majority of the title premium collected, with the balance remitted to the title underwriter for bearing the risk of loss in the event that a claim is made under the title insurance policy. Our relationship with each agent is governed by an agency agreement defining how the agent issues a title insurance policy on our behalf. The agency agreement also sets forth the agent’s liability to us for policy losses attributable to the agent’s errors. For each agent with whom we enter into an agency agreement, financial and loss experience records are maintained. Periodic audits of our agents are also conducted and the number of agents with whom we transact business is strategically managed in an effort to reduce future expenses and manage risks. Despite efforts to monitor the independent agents with which we transact business, there is no guarantee that an agent will comply with their contractual obligations to us. Furthermore, we cannot be certain that, due to changes in the regulatory environment and litigation trends, we will not be held liable for errors and omissions by agents. Accordingly, our use of independent agents could adversely impact the frequency and severity of title claims.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risk due to our owned distribution strategy and investments in distribution consolidation.</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owned distribution strategy, including our investments in minority and majority stakes in various network marketing groups and other distribution consolidators, exposes us to operational, financial, and strategic risks. These investments, including stakes in Syncis Holdings, DCMT Worldwide, a majority interest in Roar Joint Venture LLC, and a wholly-owned interest in PALH LLC, represent a significant component of our distribution strategy. The success of this strategy depends on the continued growth and performance of these businesses, which is subject to challenges such as the retention and performance of agents, market demand in cultural communities, and our ability to integrate these entities effectively into our broader operations. Furthermore, as industry consolidation among independent agent distribution channels accelerates, competition to acquire and partner with high-performing platforms intensifies, limiting our ability to secure attractive investment opportunities. Our ownership stakes also expose us to financial risks, including the potential for impairment of goodwill or intangible assets if these entities underperform, as well as regulatory and compliance risks related to licensing and fiduciary standards. These factors, combined with the operational challenges of managing both majority and minority investments, create risks that could materially and adversely affect our financial performance, competitive position, and long-term growth prospects.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valuation of investments and the determinations of the amounts of allowances and impairments taken on our investments may include methodologies, estimates and assumptions which are subject to differing interpretations and, if changed, could materially adversely affect our results of operations and financial condition.</w:t>
      </w:r>
    </w:p>
    <w:p>
      <w:pPr>
        <w:spacing w:after="0" w:line="3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Fixed maturities, equity securities, and derivatives represent the majority of total cash and invested assets reported at fair value on our balance sheet. Fair value is defined as the price that would be received to sell an asset or paid to transfer a liability in an orderly transaction between market participants at the measurement date (an exit price). Fair value estimates are made based on available market information and judgments about the financial instrument at a specific point in time. Expectations that our investments will continue to perform in accordance with their contractual terms are based on evidence gathered through our normal credit surveillance process and on assumptions a market participant would use in determining the current fair value.</w:t>
      </w:r>
    </w:p>
    <w:p>
      <w:pPr>
        <w:spacing w:after="0" w:line="5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determination of current expected credit loss varies by investment type and is based upon our periodic evaluation and assessment of known and inherent risks associated with the respective asset class. Our management considers a wide range of factors about the instrument issuer (e.g., operations of the issuer and future earnings potential) and uses their best judgment in evaluating the cause of the decline in the estimated fair value of the instrument and in assessing the prospects for recovery. In addition, we conduct various quantitative credit screens on the investment portfolio to create a credit watchlist. The credit watchlist investments are then further analyzed by our portfolio managers for likelihood of loss of contractual principal and interest. Our portfolio managers also maintain a credit spotlight for investments that do not meet the quantitative screens. These investments have been identified as requiring a higher level of review and monitoring due to idiosyncratic risk. Such evaluations and assessments require significant judgment and are revised as conditions change and new information becomes available. Additional impairments may need to be taken in the future, and the ultimate loss may exceed management’s current estimate of impairment amounts.</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value and performance of certain of our assets are dependent upon the performance of collateral underlying these investments. It is possible the collateral will not meet performance expectations leading to adverse changes in the cash flows on our holdings of these types of securities. See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including the notes thereto, in this Annual Report on Form 10-K for additional information about our investment portfolio.</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Related to our Majority Ownership in F&amp;G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F&amp;G Distribution could adversely affect our results of operations or financial condition.</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On December 1, 2022, we completed the F&amp;G Distribution. The F&amp;G Distribution is subject to inherent risks and uncertainties, including, but not limited to: diversion of management’s attention; our ability to successfully realize the anticipated benefits of the F&amp;G Distribution; the terms and conditions of agreements and arrangements between FNF and F&amp;G following the distribution, such as the Corporate Services Agreement, dated as of November 30, 2022, between FNF and F&amp;G (the “Corporate Services Agreement”), which provides for, among other things, the provision of certain services by FNF to F&amp;G following the F&amp;G Distribution; and the nature and amount of indebtedness incurred by F&amp;G. On December 31, 2025, we distributed an additional 12% of F&amp;G to holders of FNF Common Stock. In addition, our F&amp;G segment contributes to a significant portion of our earnings and the F&amp;G Distribution could adversely affect our earnings. For additional information related to the F&amp;G Distribution and the 2025 F&amp;G Distribution, refer to Item 1 Business and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in Part II of this Annual Report on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Certain F&amp;G directors may have actual or potential conflicts of interest because of their FNF equity ownership or their current or former FNF positions.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 number of F&amp;G’s directors have been, and will continue to be, officers, directors or employees of FNF (or officers, directors or employees of affiliates of FNF) and, thus, have professional relationships with FNF’s officers, directors or employees. In addition, certain of F&amp;G’s directors and executive officers own FNF common stock or other equity compensation awards. These relationships may create, or may create the appearance of, conflicts of interest when these directors and officers are faced with decisions that could have different implications for FNF and F&amp;G, based on their role as a director of F&amp;G and as an officer of FNF or equity holder of FNF. For example, potential conflicts of interest could arise in connection with the resolution of any dispute that may arise between FNF and F&amp;G regarding the terms of the agreements governing F&amp;G’s relationship with FNF, including the Corporate Services Agreement.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the Geographic Concentrations of our Business Segments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are dependent upon California and Texas for approximately 12.2% and 14.1% of our title insurance premiums, respectively, our Title segment may be adversely affected by regulatory conditions in California and/or Texas.</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California and Texas are the two largest sources of revenue for our Title segment. In 2025, California-based premiums accounted for approximately 25.7% of premiums earned by our direct operations and 0.3% of our agency premium revenues, while Texas-based premiums accounted for 19.5% of premiums earned by our direct operations and 9.3% of our agency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premium revenues. In the aggregate, California and Texas accounted for approximately 12.2% and 14.1%, respectively, of our total title insurance premiums for 2025. A significant part of our revenues and profitability are therefore subject to our operations in California and Texas and to the prevailing regulatory conditions in these states. Adverse regulatory developments in California and Texas, which could include reductions in the maximum rates permitted to be charged, inadequate rate increases or more fundamental changes in the design or implementation of the California and Texas title insurance regulatory framework, could have a material adverse effect on our results of operations and financial condition.</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Concentration in certain states for the distribution of our life insurance and annuity products in our F&amp;G segment may subject us to losses attributable to economic downturns or catastrophes in those states.</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top five states for the distribution of our life insurance and annuity products in our F&amp;G segment are California, Florida, Pennsylvania, Texas and New Jersey. Any adverse economic developments or catastrophes in these states could have an adverse impact on our F&amp;G segment.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Government Regulation of the Insurance Industry</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subsidiaries must comply with federal and state statutes and regulations. These statutes and regulations may increase our costs, impede our provision of certain products or services, or impose burdensome conditions on actions that we might seek to take to increase the revenues of those subsidiaries, resulting in decreased demand for the Company's products and services or otherwise adversely affecting the Company.</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Changes to federal and state statutes and regulations; statutory or regulatory guidance, policies, or interpretations of existing regulations or statutes; guidelines published by the government-sponsored enterprises; enhanced federal or state governmental oversight or efforts by federal or state governmental agencies that cause customers to refrain from purchasing or using the Company’s products and services, could: (i) prohibit, impact, or limit our future operations; (ii) make it more costly or burdensome to conduct such operations; or (iii) result in decreased demand for the Company’s products and services. Such changes could impact our competitive position and have a negative impact on our ability to generate revenues, earnings and cash flows.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Additionally, our insurance businesses are subject to extensive regulation by state insurance authorities in each state in which they operate. These agencies have broad administrative and supervisory power relating to the following, among other matters:</w:t>
      </w:r>
    </w:p>
    <w:p>
      <w:pPr>
        <w:spacing w:after="0" w:line="39"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licensing requirements;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and marketing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accounting and financing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disclosure requirements on key terms of mortgage loans;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and surplus requirements;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dividends and other payments made by insurance subsidiaries;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practices;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schedules;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of securities for the benefit of policyholders;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reserves;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of reinsurance.</w:t>
      </w:r>
    </w:p>
    <w:p>
      <w:pPr>
        <w:spacing w:after="0" w:line="6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Regulation” of this Annual Report for further discussion of the current regulatory environment.</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ServiceLink subsidiary provides mortgage transaction services including title-related services and facilitation of production and management of mortgage loans. Certain of these businesses are subject to federal and state regulatory oversight. For example, ServiceLink’s LoanCare business services and subservices mortgage loans secured primarily by residential real estate throughout the United States. LoanCare is subject to extensive federal, state and local regulatory oversight, including federal and state regulatory examinations, information gathering requests, inquiries and investigations by governmental and regulatory agencies, including the CFPB. In connection with formal and informal inquiries by those agencies, LoanCare receives numerous requests, subpoenas, and orders for documents, testimony and information in connection with various aspects of its or its clients’ regulated activities.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LoanCare is also required to maintain a variety of licenses, both federal and state. License requirements are in a frequent state of renewal and reexamination as regulations change or are reinterpreted. In addition, federal and state statutes establish specific guidelines and procedures that debt collectors must follow when collecting consumer accounts. LoanCare’s failure to comply with any of these laws, should the states take an opposing interpretation, could have an adverse effect on LoanCare in the event and to the extent that they apply to some or all of its servicing activities.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regulation of the rates we charge for title insurance could adversely affect our results of operations.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general, premium rates are determined on the basis of historical data for claim frequency and severity as well as related production costs and other expenses. In all states in which our title subsidiaries operate, our rates must not be excessive, inadequate or unfairly discriminatory. Premium rates are likely to prove insufficient when ultimate claims and expenses exceed historically projected levels. Premium rate inadequacy may not become evident quickly and may take time to correct, and could adversely affect our results of operations and financial condition.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F&amp;G segment is highly regulated and subject to numerous legal restrictions and regulations.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F&amp;G's insurance businesses are subject to extensive regulation by state insurance authorities in each state in which they operate. Most states also regulate insurance holding companies like us with respect to acquisitions, changes of control and the terms of transactions with our affiliates. In addition, we may incur significant costs in the course of complying with regulatory requirements.</w:t>
      </w:r>
    </w:p>
    <w:p>
      <w:pPr>
        <w:spacing w:after="0" w:line="18" w:lineRule="exact"/>
        <w:rPr>
          <w:sz w:val="20"/>
          <w:szCs w:val="20"/>
          <w:color w:val="auto"/>
        </w:rPr>
      </w:pPr>
    </w:p>
    <w:p>
      <w:pPr>
        <w:jc w:val="both"/>
        <w:ind w:firstLine="255"/>
        <w:spacing w:after="0"/>
        <w:rPr>
          <w:sz w:val="20"/>
          <w:szCs w:val="20"/>
          <w:color w:val="auto"/>
        </w:rPr>
      </w:pPr>
      <w:r>
        <w:rPr>
          <w:rFonts w:ascii="Times New Roman" w:cs="Times New Roman" w:eastAsia="Times New Roman" w:hAnsi="Times New Roman"/>
          <w:sz w:val="14"/>
          <w:szCs w:val="14"/>
          <w:color w:val="auto"/>
        </w:rPr>
        <w:t>State insurance regulators, the NAIC and federal regulators continually reexamine existing laws and regulations and may impose changes in the future. New interpretations of existing laws and the passage of new legislation may harm our ability to sell new policies, increase our claims exposure on policies we issued previously and adversely affect our profitability and financial strength. We are also subject to the risk that compliance with any particular regulator’s interpretation of a legal or accounting issue may not result in compliance with another regulator’s interpretation of the same issue, particularly when compliance is judged in hindsight. Regulators and other authorities have the power to bring administrative or judicial proceedings against us, which could result in, among other things, suspension or revocation of our licenses, cease and desist orders, fines, civil penalties, criminal penalties or other disciplinary action, which could materially harm our results of operations and financial condition.</w:t>
      </w:r>
    </w:p>
    <w:p>
      <w:pPr>
        <w:spacing w:after="0" w:line="63"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 xml:space="preserve">We cannot predict what form any future changes in these or other areas of regulation affecting the insurance industry might take or what effect, if any, such proposals might have on us if enacted into law. In addition, because our activities are relatively concentrated in a small number of lines of business, any change in law or regulation affecting one of those lines of business could have a disproportionate impact on us as compared to other more diversified insurance companies. See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Regulation” of this Annual Report for further discussion of the impact of regulations on our business.</w:t>
      </w:r>
    </w:p>
    <w:p>
      <w:pPr>
        <w:spacing w:after="0" w:line="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F&amp;G's business is subject to government regulation in each of the jurisdictions in which we conduct business and regulators have broad administrative and discretionary authority over our business and business practices.</w:t>
      </w:r>
    </w:p>
    <w:p>
      <w:pPr>
        <w:spacing w:after="0" w:line="6"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F&amp;G's business is subject to government regulation in each of the states in which we conduct business and is concerned primarily with the protection of policyholders and other customers rather than shareholders. Such regulation is vested in state agencies having broad administrative and discretionary authority, which may include, among other things, premium rates and increases thereto, underwriting practices, reserve requirements, marketing practices, advertising, privacy, policy forms, reinsurance reserve requirements, acquisitions, mergers, and capital adequacy. At any given time, we and our insurance subsidiaries may be the subject of a number of ongoing financial or market conduct, audits, or inquiries. From time to time, regulators raise issues during such examinations or audits that could have a material impact on our business.</w:t>
      </w:r>
    </w:p>
    <w:p>
      <w:pPr>
        <w:spacing w:after="0" w:line="5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Under insurance guaranty fund laws in most states, insurance companies doing business therein can be assessed up to prescribed limits for policyholder losses incurred by insolvent companies. We cannot predict the amount or timing of any such future assessments and therefore the liability we have established for these potential assessments may not be adequate. In addition, regulators may change their interpretation or application of existing laws and regulations such as the case with broadening the scope of carriers that must contribute towards Long Term Care insolvencies.</w:t>
      </w:r>
    </w:p>
    <w:p>
      <w:pPr>
        <w:spacing w:after="0" w:line="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F&amp;G's business in the United States is regulated by the National Association of Insurance Commissioners (“NAIC”), which continues to consider reforms including relating to cybersecurity regulations, best interest standards, risk-based capital (“RBC”) and life insurance reserves.</w:t>
      </w:r>
    </w:p>
    <w:p>
      <w:pPr>
        <w:spacing w:after="0" w:line="6"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Although our business is subject to regulation in each state in which we conduct business, in many instances the state regulatory models emanate from the NAIC. Some of the NAIC pronouncements, particularly as they affect accounting issues, take effect automatically in the various states without affirmative action by the states. Statutes, regulations and interpretations may be applied with retroactive impact, particularly in areas such as accounting and reserve requirements. The NAIC continues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work to reform state regulation in various areas, including comprehensive reforms relating to cybersecurity regulations, best interest standards, RBC and life insurance reserves.</w:t>
      </w:r>
    </w:p>
    <w:p>
      <w:pPr>
        <w:spacing w:after="0" w:line="83" w:lineRule="exact"/>
        <w:rPr>
          <w:sz w:val="20"/>
          <w:szCs w:val="20"/>
          <w:color w:val="auto"/>
        </w:rPr>
      </w:pPr>
    </w:p>
    <w:p>
      <w:pPr>
        <w:jc w:val="both"/>
        <w:ind w:firstLine="255"/>
        <w:spacing w:after="0" w:line="248" w:lineRule="auto"/>
        <w:rPr>
          <w:sz w:val="20"/>
          <w:szCs w:val="20"/>
          <w:color w:val="auto"/>
        </w:rPr>
      </w:pPr>
      <w:r>
        <w:rPr>
          <w:rFonts w:ascii="Times New Roman" w:cs="Times New Roman" w:eastAsia="Times New Roman" w:hAnsi="Times New Roman"/>
          <w:sz w:val="14"/>
          <w:szCs w:val="14"/>
          <w:color w:val="auto"/>
        </w:rPr>
        <w:t>Our insurance subsidiaries are subject to minimum capitalization requirements based on RBC formulas for life insurance companies that establish capital requirements relating to insurance, business, asset, interest rate and certain other risks. Changes to statutory reserve or RBC requirements may increase the amount of reserves or capital our insurance companies are required to hold and may impact our ability to pay dividends. In addition, changes in statutory reserve or risk-based capital requirements may adversely impact our financial strength ratings. Changes currently under consideration include adding an operational risk component, factors for asset credit risk, and group wide capital calculations.</w:t>
      </w:r>
    </w:p>
    <w:p>
      <w:pPr>
        <w:spacing w:after="0" w:line="6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Current and emerging developments relating to market conduct standards for the financial industry emerging from the United States Department of Labor’s (“DOL”) implementation of the “fiduciary rule” may over time materially affect our business.</w:t>
      </w:r>
    </w:p>
    <w:p>
      <w:pPr>
        <w:spacing w:after="0" w:line="37"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December 2020, the DOL issued its final version of an investment advice rule replacing the previous “Fiduciary Rule” that had been challenged by industry participants and vacated in March 2018 by the United States Fifth Circuit Court of Appeals. The new investment advice rule reinstates the five-part test for determining whether a person is considered a fiduciary for purposes of the Employee Retirement Income Security Act of 1974 (“ERISA”) and the Internal Revenue Code of 1986, as amended (the “Code”), and sets forth a new exemption, referred to as prohibited transaction class exemption (“PTE”) 2020-02. The rule’s preamble also contains the DOL’s reinterpretation of elements of the five-part test that appears to encompass more insurance agents selling IRA products and withdraws the DOL’s longstanding position that rollover recommendations out of employer plans are not subject to ERISA. The new rule took effect on February 16, 2021. The DOL left in place PTE 84-24, which is a longstanding class exemption providing prohibited transaction relief for insurance agents selling annuity products, provided that certain disclosures are made to the plan fiduciary, which is the policyholder in the case of an IRA, and certain other conditions are met. Among other things, these disclosures include the agent’s relationship to the insurer and commissions received in connection with the annuity sale. We, along with FGL Insurance and FGL NY Insurance, designed and launched a compliance program in January 2022 requiring all agents selling IRA products to submit an acknowledgment with each IRA application indicating the agent has satisfied PTE 84-24 requirements on a precautionary basis in case the agent acted or is found to have acted as a fiduciary.</w:t>
      </w:r>
    </w:p>
    <w:p>
      <w:pPr>
        <w:spacing w:after="0" w:line="65"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On April 23, 2024, following previous attempts to expand fiduciary regulation for advisers, the DOL released a new rule, the “New Fiduciary Rule”, which significantly broadens the definition of “fiduciary” under ERISA and Section 4975 when advisers provide investment recommendations to plans subject to ERISA and Section 4975 of the Code. Among other requirements, the New Fiduciary Rule provides that any person will be an investment advice fiduciary if such person provides investment advice or makes an investment recommendation to a retirement investor (i.e., a plan, a discretionary plan fiduciary, a plan participant or beneficiary, an IRA, an IRA owner or beneficiary, or an IRA fiduciary) for a fee or other compensation, the person makes professional investment recommendations to investors on a regular basis as part of their business, and the recommendation is provided under circumstances that would indicate to a reasonable investor in like circumstances that the recommendation is based on a review of the particular needs or individual investor circumstances of the retirement investor, reflects the application of professional or expert judgment to the retirement investor’s particular needs or individual circumstances, and may be relied upon by the retirement investor as intended to advance the retirement investor’s best interest. Unlike the current ERISA standard, the New Fiduciary Rule subjects non-discretionary investment advice to retirement plans and accounts under the care and loyalty standards that also apply to investment advisors with discretionary authority or control over such plans and accounts. In addition, on the same date, the DOL issued amended versions of PTE 2020-02 and PTE 84-24, either or both of which provide prohibited transaction exemptive relief to insurance companies and insurance producers who make insurance product recommendations to retirement investors, subject to certain conditions. The New Fiduciary Rule likely means that certain of the Company’s agents will be considered fiduciaries for purposes of ERISA and the Code, subjecting the Company, and the insurance industry on the whole, to greater regulatory risk.</w:t>
      </w:r>
    </w:p>
    <w:p>
      <w:pPr>
        <w:spacing w:after="0" w:line="59"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color w:val="auto"/>
        </w:rPr>
        <w:t xml:space="preserve">The DOL’s New Fiduciary Rule, which was scheduled to become effective on September 23, 2024, has been challenged. On July 25, 2024, in the case of </w:t>
      </w:r>
      <w:r>
        <w:rPr>
          <w:rFonts w:ascii="Times New Roman" w:cs="Times New Roman" w:eastAsia="Times New Roman" w:hAnsi="Times New Roman"/>
          <w:sz w:val="14"/>
          <w:szCs w:val="14"/>
          <w:i w:val="1"/>
          <w:iCs w:val="1"/>
          <w:color w:val="auto"/>
        </w:rPr>
        <w:t>Federation of Americans for Consumer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Choice, Inc., et al. v. United States Department of Labor, et al., </w:t>
      </w:r>
      <w:r>
        <w:rPr>
          <w:rFonts w:ascii="Times New Roman" w:cs="Times New Roman" w:eastAsia="Times New Roman" w:hAnsi="Times New Roman"/>
          <w:sz w:val="14"/>
          <w:szCs w:val="14"/>
          <w:color w:val="auto"/>
        </w:rPr>
        <w:t>(“Federation of Americans”) the United States District Court for the Eastern District of Texas issued an order staying the effective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of the DOL’s New Fiduciary Rule (and related amendments to PTE 84-24) that was issued in March 2024. The District Court, in part relying on the Supreme Court’s recent ruling in </w:t>
      </w:r>
      <w:r>
        <w:rPr>
          <w:rFonts w:ascii="Times New Roman" w:cs="Times New Roman" w:eastAsia="Times New Roman" w:hAnsi="Times New Roman"/>
          <w:sz w:val="14"/>
          <w:szCs w:val="14"/>
          <w:i w:val="1"/>
          <w:iCs w:val="1"/>
          <w:color w:val="auto"/>
        </w:rPr>
        <w:t>Loper Bright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Enterprises v. Raimondo</w:t>
      </w:r>
      <w:r>
        <w:rPr>
          <w:rFonts w:ascii="Times New Roman" w:cs="Times New Roman" w:eastAsia="Times New Roman" w:hAnsi="Times New Roman"/>
          <w:sz w:val="14"/>
          <w:szCs w:val="14"/>
          <w:color w:val="auto"/>
        </w:rPr>
        <w:t>, found that the plaintiffs (primarily insurance agents) were likely to succeed on their arguments that the New Fiduciary Rule improperly expanded the definition of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 advice fiduciary” under ERISA. As a result, the New Fiduciary Rule’s original effective date of September 23, 2024 was delayed until further notice.</w:t>
      </w:r>
    </w:p>
    <w:p>
      <w:pPr>
        <w:spacing w:after="0" w:line="5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addition, on July 26, 2024, a companion case to </w:t>
      </w:r>
      <w:r>
        <w:rPr>
          <w:rFonts w:ascii="Times New Roman" w:cs="Times New Roman" w:eastAsia="Times New Roman" w:hAnsi="Times New Roman"/>
          <w:sz w:val="14"/>
          <w:szCs w:val="14"/>
          <w:i w:val="1"/>
          <w:iCs w:val="1"/>
          <w:color w:val="auto"/>
        </w:rPr>
        <w:t>Federation of Americans</w:t>
      </w:r>
      <w:r>
        <w:rPr>
          <w:rFonts w:ascii="Times New Roman" w:cs="Times New Roman" w:eastAsia="Times New Roman" w:hAnsi="Times New Roman"/>
          <w:sz w:val="14"/>
          <w:szCs w:val="14"/>
          <w:color w:val="auto"/>
        </w:rPr>
        <w:t xml:space="preserve"> filed in the United States District Court for the Northern District of Texas, </w:t>
      </w:r>
      <w:r>
        <w:rPr>
          <w:rFonts w:ascii="Times New Roman" w:cs="Times New Roman" w:eastAsia="Times New Roman" w:hAnsi="Times New Roman"/>
          <w:sz w:val="14"/>
          <w:szCs w:val="14"/>
          <w:i w:val="1"/>
          <w:iCs w:val="1"/>
          <w:color w:val="auto"/>
        </w:rPr>
        <w:t>American Council of Life Insurers, et al. v.</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United States Dep’t of Labor, et al., </w:t>
      </w:r>
      <w:r>
        <w:rPr>
          <w:rFonts w:ascii="Times New Roman" w:cs="Times New Roman" w:eastAsia="Times New Roman" w:hAnsi="Times New Roman"/>
          <w:sz w:val="14"/>
          <w:szCs w:val="14"/>
          <w:color w:val="auto"/>
        </w:rPr>
        <w:t>held the remaining PTE amendments included in the New Fiduciary Rule (PTEs 2020-02, 75-1, 77-4, 80-83, 83-1 and 86-128) that were not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color w:val="auto"/>
        </w:rPr>
        <w:t xml:space="preserve">challenged in </w:t>
      </w:r>
      <w:r>
        <w:rPr>
          <w:rFonts w:ascii="Times New Roman" w:cs="Times New Roman" w:eastAsia="Times New Roman" w:hAnsi="Times New Roman"/>
          <w:sz w:val="14"/>
          <w:szCs w:val="14"/>
          <w:i w:val="1"/>
          <w:iCs w:val="1"/>
          <w:color w:val="auto"/>
        </w:rPr>
        <w:t>Federation of Americans</w:t>
      </w:r>
      <w:r>
        <w:rPr>
          <w:rFonts w:ascii="Times New Roman" w:cs="Times New Roman" w:eastAsia="Times New Roman" w:hAnsi="Times New Roman"/>
          <w:sz w:val="14"/>
          <w:szCs w:val="14"/>
          <w:color w:val="auto"/>
        </w:rPr>
        <w:t xml:space="preserve"> were also stayed, noting that the Northern District fully agreed with the Eastern District’s analysis and decision to stay the effective date of the New Fiduciary Rule.</w:t>
      </w:r>
    </w:p>
    <w:p>
      <w:pPr>
        <w:spacing w:after="0" w:line="37"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On September 20, 2024, the DOL appealed both rulings to the Fifth Circuit Court of Appeals. In early 2025, the DOL filed successive unopposed motions to hold the appeals in abeyance to allow new agency officials time to become familiar with the issues in these cases and determine how they wish to proceed. The motions were granted so the appeals were in abeyance. In November 2025, the DOL moved to voluntarily dismiss their appeals and the Fifth Circuit agreed and remanded the cases to the District Courts. The DOL has moved the District Courts to allow until March 2026 to determine their position and next steps with the cases. Adverse Texas District Court rulings could have harmful effects on the insurance industry, creating additional hurdles to operate our business.</w:t>
      </w:r>
    </w:p>
    <w:p>
      <w:pPr>
        <w:spacing w:after="0" w:line="5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cannot predict the final outcome of the pending litigation regarding the New Fiduciary Rule; however, management believes these current and emerging developments relating to market conduct standards for the financial services industry may, over time, materially affect the way in which our agents do business, the role of IMOs, sale of IRA products including IRA-to-IRA and employer plan rollovers, how we supervise our distribution force, compensation practices and liability exposure and costs, all of which could adversely impact our business, results of operations and/or financial condition. In addition to implementing the compliance procedures described above, management is monitoring further developments closely and will be working with IMOs and distributors to adapt to these evolving regulatory requirements and risks. Please refer to “</w:t>
      </w:r>
      <w:r>
        <w:rPr>
          <w:rFonts w:ascii="Times New Roman" w:cs="Times New Roman" w:eastAsia="Times New Roman" w:hAnsi="Times New Roman"/>
          <w:sz w:val="14"/>
          <w:szCs w:val="14"/>
          <w:i w:val="1"/>
          <w:iCs w:val="1"/>
          <w:color w:val="auto"/>
        </w:rPr>
        <w:t>Business-Regulation of F&amp;G</w:t>
      </w:r>
      <w:r>
        <w:rPr>
          <w:rFonts w:ascii="Times New Roman" w:cs="Times New Roman" w:eastAsia="Times New Roman" w:hAnsi="Times New Roman"/>
          <w:sz w:val="14"/>
          <w:szCs w:val="14"/>
          <w:color w:val="auto"/>
        </w:rPr>
        <w:t>” for additional details on the DOL’s “Fiduciary Rule.”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to regulations under ERISA could adversely affect the Company by increasing the Company’s regulatory and compliance burden.</w:t>
      </w:r>
    </w:p>
    <w:p>
      <w:pPr>
        <w:spacing w:after="0" w:line="85"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The prohibited transaction rules of ERISA and the Code generally restrict the provision of investment advice to ERISA plans and participants and IRA owners, if the investment recommendation results in fees paid to the individual advisor, his or her firm, or their affiliates, which vary according to the investment recommendation chosen. The 2020 PTE, which took effect on February 16, 2021, was expected to ease some of the investment advice restrictions under ERISA. However, this expectation may change if the New Fiduciary Rule, discussed earlier, becomes law. Currently, the New Fiduciary Rule’s effective date has been stayed from going into effect. In recent years, the DOL has issued or proposed several regulations that increase the level of disclosure that must be provided to plan sponsors and participants. These ERISA disclosure requirements will increase the Company’s regulatory and compliance burden, resulting in increased costs.</w:t>
      </w:r>
    </w:p>
    <w:p>
      <w:pPr>
        <w:spacing w:after="0" w:line="6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regulation in Bermuda and the Cayman Islands may limit or curtail our activities, and changes to existing regulations may affect our ability to continue to offer our existing products and services, or new products and services.</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business is subject to regulation in Bermuda and the Cayman Islands, including the BMA and the CIMA. These regulations may limit or curtail our activities, including activities that might be profitable, and changes to existing regulations may affect our ability to continue to offer our existing products and services, or new products and services we may wish to offer in the future.</w:t>
      </w:r>
    </w:p>
    <w:p>
      <w:pPr>
        <w:spacing w:after="0" w:line="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reinsurance subsidiary, F&amp;G Life Re, is registered in Bermuda under the Bermuda Insurance Act and is subject to the rules and regulations promulgated thereunder. The BMA has sought regulatory equivalency, which enables Bermuda’s commercial insurers to transact business with the European Union (“EU”) on a “level playing field.” In connection with its initial efforts to achieve equivalency under the EU’s Directive (2009/138/EC) (“Solvency II”), the BMA implemented and imposed additional requirements on the companies it regulates. Effective January 1, 2015, Bermuda was placed on the NAIC’s List of Qualified Jurisdictions, which makes Bermuda-domiciled reinsurers that meet certain criteria to qualify as a certified reinsurer eligible for reduced reinsurance collateral requirements under the NAIC’s Credit for Reinsurance Model Law and Regulations as adopted by various states. F&amp;G Life Re has been designated as a certified reinsurer in Iowa. The European Commission in 2016 granted Bermuda’s commercial insurers full equivalency in all areas of Solvency II for an indefinite period of time. Effective January 1, 2020, Bermuda was granted NAIC Reciprocal Jurisdiction status, which makes Bermuda domiciled reinsurers that satisfy certain conditions eligible to be designated as a reciprocal jurisdiction reinsurer. Under the NAIC’s Credit for Reinsurance Model Law and Regulations, which has been adopted by all states, a ceding insurer may take credit for reinsurance ceded to a reciprocal jurisdiction reinsurer without posting any collateral. F&amp;G Life Re has been approved as a reciprocal jurisdiction reinsurer in Iowa.</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reinsurance subsidiary, F&amp;G Cayman Re, is a licensed Class D insurer in the Cayman Islands and a wholly owned direct subsidiary of ours, is licensed by the CIMA and is subject to supervision by CIMA. CIMA may, at any time, direct F&amp;G Cayman Re, in relation to a policy, a line of business or the entire business, to cease or refrain from committing an act or pursing a course of conduct and to perform such acts as in the opinion of CIMA are necessary to remedy or ameliorate the situation. Please refer to “</w:t>
      </w:r>
      <w:r>
        <w:rPr>
          <w:rFonts w:ascii="Times New Roman" w:cs="Times New Roman" w:eastAsia="Times New Roman" w:hAnsi="Times New Roman"/>
          <w:sz w:val="14"/>
          <w:szCs w:val="14"/>
          <w:i w:val="1"/>
          <w:iCs w:val="1"/>
          <w:color w:val="auto"/>
        </w:rPr>
        <w:t>Business-Regulation of F&amp;G</w:t>
      </w:r>
      <w:r>
        <w:rPr>
          <w:rFonts w:ascii="Times New Roman" w:cs="Times New Roman" w:eastAsia="Times New Roman" w:hAnsi="Times New Roman"/>
          <w:sz w:val="14"/>
          <w:szCs w:val="14"/>
          <w:color w:val="auto"/>
        </w:rPr>
        <w:t>” for additional details on the regulations in Bermuda and the Cayman Islands.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SECURE 2.0 Act of 2022 may impact our business and the markets in which we compete.</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Secure 2.0 Act of 2022, Division T of the Consolidated Appropriations Act, 2023 (“SECURE Act 2.0”), was signed into law on December 29, 2022, and for which relevant provisions went into effect January 1, 2023, in certain respects. The SECURE Act 2.0 contains provisions that may impact our F&amp;G insurance subsidiaries, and these changes could affect the desirability of IRAs, necessitate changes to our administrative system to implement the Act, and affect, to some extent, the length of time that IRA assets remain in our annuity products. These provisions include, for example, raising the age for required minimum distributions from IRAs from 72 to 73 (age 74 after 2032); additional exceptions to the 10% penalty tax for distributions before age 59-1/2; reduction of the penalty for failures to take a required distribution amount; directions to the SEC for new registration forms for RILAs; and directions to the DOL to revisit fiduciary standards relating to choosing an annuity provider in pension risk transfer transactions. While we cannot predict whether, or to what extent, the SECURE Act 2.0 will ultimately impact us, whether positive or negative, it may have implications for our business operations and the markets in which we compete.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investigations of the insurance industry may lead to fines, settlements, new regulation or legal uncertainty, which could negatively affect our results of operations.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Changing rules, public disclosure regulations and stakeholder expectations on environmental, social and corporate governance (“ESG”) related matters create a variety of risks for our business.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or change expectations related to ESG matters.</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w:t>
      </w:r>
    </w:p>
    <w:p>
      <w:pPr>
        <w:spacing w:after="0" w:line="61"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additional compliance obligations, investigations and enforcement actions, or reputational harm.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Relating to the Credit Risk of our Counterparties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the credit risk of our counterparties, including companies with whom we have reinsurance agreements or we have purchased equity options.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cede material amounts of insurance and transfers of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liquidity, and results of operations. We regularly monitor the credit rating and performance of our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reinsurance parties. Aspida Re, Wilton Re, Somerset and Everlake represent our largest third-party reinsurance counterparty exposure. As of December 31, 2025, the net amount recoverable from Aspida Re, Wilton Re, Somerset, and Everlake were $8,589 million, $5,071 million, $1,868 million, and $1,032 million, respectively. The risk of non-performance is mitigated with various forms of collateral or collateral arrangements, including secured trusts, funds withheld accounts and irrevocable letters of credit.</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exposed to credit loss in the event of non-performance by our counterparties on options. We seek to reduce the risk associated with such agreements by purchasing such options from large, well-established financial institutions, and by holding collateral. There can be no assurance we will not suffer losses in the event of counterparty non-performance. Several of our derivative counterparty International Swap and Derivative Association (“ISDA”) agreements contain additional termination event triggers based on a downgrade of FGL Insurance. These triggers would give these counterparties the option to terminate our options, which could lead to losses if occurring at an inopportune time.</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Please refer to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for additional details on credit risk and counterparty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financial institutions at which we hold escrow funds fail, it could have a material adverse impact on our company.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$16.2 billion at December 31, 2025.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Related to a National or Global Crisis, Climate Change, Computer Cyber-terrorism and Other Catastrophic Events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materially and adversely affected by the occurrence of a catastrophe, including natural disasters or those caused by humans.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catastrophic event, such as a pandemic, terrorist attacks, floods, severe storms or hurricanes, or cyber-attacks, could have a material and adverse effect on our business in several respects:</w:t>
      </w:r>
    </w:p>
    <w:p>
      <w:pPr>
        <w:spacing w:after="0" w:line="94" w:lineRule="exact"/>
        <w:rPr>
          <w:sz w:val="20"/>
          <w:szCs w:val="20"/>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outbreak of a pandemic disease, like COVID-19, could have a material adverse effect on our liquidity, financial condition, and the operating results of our insurance business due to its impact on the economy and financial markets;</w:t>
      </w:r>
    </w:p>
    <w:p>
      <w:pPr>
        <w:spacing w:after="0" w:line="2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18"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experience long-term interruptions in our service and the services provided by our significant vendors due to the effects of catastrophic events, including but not limited to cyber-attacks.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44"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manage our financial exposure for losses in our title insurance business and in our F&amp;G segment with third-party reinsurance. Catastrophic events could adversely affect the cost and availability of that reinsurance;</w:t>
      </w:r>
    </w:p>
    <w:p>
      <w:pPr>
        <w:spacing w:after="0" w:line="2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of our investment portfolio may decrease if the securities in which we invest are negatively impacted by climate change, pandemics, severe weather conditions, and other catastrophic events.</w:t>
      </w:r>
    </w:p>
    <w:p>
      <w:pPr>
        <w:spacing w:after="0" w:line="1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Natural catastrophes and pandemics present risks that could adversely affect our results of operations. In addition, our business operations may be adversely affected by the increased risk of malicious and terrorist acts, which could disrupt our operations or the safety of our employees or customers. Claims arising from such events could have an adverse effect on our business, operations and financial condition, either directly or as a result of their effect on our reinsurers or other counterparties. Such events could also have an adverse effect on the rate and amount of lapses and surrenders of existing policies, as well as sales of new policies.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While we believe we have taken steps to identify and mitigate these types of risks, such risks cannot be reliably predicted, nor fully protected against even if anticipated. In addition, such events could result in overall macroeconomic volatility or specifically a decrease or halt in economic activity in large geographic areas, adversely affecting the marketing or administration of our business within such geographic areas or the general economic climate, which in turn could have an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360"/>
        <w:spacing w:after="0" w:line="378" w:lineRule="auto"/>
        <w:rPr>
          <w:sz w:val="20"/>
          <w:szCs w:val="20"/>
          <w:color w:val="auto"/>
        </w:rPr>
      </w:pPr>
      <w:r>
        <w:rPr>
          <w:rFonts w:ascii="Times New Roman" w:cs="Times New Roman" w:eastAsia="Times New Roman" w:hAnsi="Times New Roman"/>
          <w:sz w:val="14"/>
          <w:szCs w:val="14"/>
          <w:color w:val="auto"/>
        </w:rPr>
        <w:t xml:space="preserve">adverse effect on our business, results of operations, and financial condition. The possible macroeconomic effects of such events could also adversely affect our asset portfolio. </w:t>
      </w:r>
      <w:r>
        <w:rPr>
          <w:rFonts w:ascii="Times New Roman" w:cs="Times New Roman" w:eastAsia="Times New Roman" w:hAnsi="Times New Roman"/>
          <w:sz w:val="14"/>
          <w:szCs w:val="14"/>
          <w:b w:val="1"/>
          <w:bCs w:val="1"/>
          <w:color w:val="auto"/>
        </w:rPr>
        <w:t>General Risk Factors</w:t>
      </w: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Failure of our information security systems or unauthorized access to such systems could result in a loss or disclosure of confidential information, damage to our reputation, monetary losses, additional costs and impairment of our ability to conduct business effectively.</w:t>
      </w:r>
    </w:p>
    <w:p>
      <w:pPr>
        <w:spacing w:after="0" w:line="4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operations are highly dependent upon the effective operation of our computer systems. We use our computer systems to receive, process, store and transmit sensitive personal consumer data (such as names and addresses, social security numbers, driver's license numbers and bank account information) and important business information of our customers. We also electronically manage substantial cash, investment assets and escrow account balances on behalf of ourselves and our customers, as well as financial information about our businesses generally. The integrity of our computer systems and the protection of the information that resides on such systems are important to our successful operation. If we fail to maintain an adequate security infrastructure, adapt to emerging security threats such as ransomware or follow our internal business processes with respect to security, the information or assets we hold could be compromised. Further, even if we, or third parties to which we outsource certain information technology services, maintain a reasonable, industry-standard information security infrastructure to mitigate these risks, the inherent risk that unauthorized access to information or assets remains. This risk is increased by transmittal of information over the internet and the increased threat and sophistication of cyber criminals. While, to date, we believe that we have not experienced a material breach of our computer systems, the occurrence or scope of such events is not always apparent.</w:t>
      </w:r>
    </w:p>
    <w:p>
      <w:pPr>
        <w:spacing w:after="0" w:line="64"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Examples of security threats that represent significant inherent risk with little to no warning include the MoveIT security incident affecting F&amp;G, in which F&amp;G activated its crisis management protocols to adequately manage the investigation, impact and response to this incident. In November 2023, we experienced a cybersecurity incident where an unauthorized third-party accessed certain of our systems, deployed a type of malware that is not self-propagating, and exfiltrated certain data. We promptly commenced an investigation, retained leading experts to assist the Company, notified law enforcement authorities, regulatory authorities and other stakeholders and followed our incident response plans. Although we believe we have remediated the significant exposures related to these incidents, there remains potential for future losses associated with litigation and damage to our reputation. If additional information regarding an event previously considered immaterial is discovered, or a new event were to occur, it could potentially have a material adverse effect on our operations or financial condition. In addition, some laws and certain of our contracts require notification of various parties, including regulators, consumers or customers, in the event that confidential or personal information has or may have been taken or accessed by unauthorized parties. Such notifications can potentially result, among other things, in adverse publicity, diversion of management and other resources, the attention of regulatory authorities, the imposition of fines and disruptions in business operations, the effects of which may be material. Any inability to prevent security or privacy breaches, or the perception that such breaches may occur, could inhibit our ability to retain or attract new clients and/or result in financial losses, litigation, increased costs, negative publicity or other adverse consequences to our business.</w:t>
      </w:r>
    </w:p>
    <w:p>
      <w:pPr>
        <w:spacing w:after="0" w:line="55" w:lineRule="exact"/>
        <w:rPr>
          <w:sz w:val="20"/>
          <w:szCs w:val="20"/>
          <w:color w:val="auto"/>
        </w:rPr>
      </w:pPr>
    </w:p>
    <w:p>
      <w:pPr>
        <w:jc w:val="both"/>
        <w:ind w:firstLine="255"/>
        <w:spacing w:after="0" w:line="243" w:lineRule="auto"/>
        <w:rPr>
          <w:sz w:val="20"/>
          <w:szCs w:val="20"/>
          <w:color w:val="auto"/>
        </w:rPr>
      </w:pPr>
      <w:r>
        <w:rPr>
          <w:rFonts w:ascii="Times New Roman" w:cs="Times New Roman" w:eastAsia="Times New Roman" w:hAnsi="Times New Roman"/>
          <w:sz w:val="14"/>
          <w:szCs w:val="14"/>
          <w:color w:val="auto"/>
        </w:rPr>
        <w:t>While we currently maintain cybersecurity insurance, such insurance may not be sufficient in type or amount to cover us against claims related to cybersecurity breaches or attacks, failures or other data security-related incidents, and we cannot be certain that cyber insurance will continue to be available to us on economically reasonable terms, or at all, or that an insurer will not deny coverage as to any future claim. The successful assertion of one or more claims against us that exceed available insurance coverage, or the occurrence of changes in our insurance policies, including premium increases or the imposition of large deductibles, could materially and adversely affect our financial condition, results of operations and cash flows.</w:t>
      </w:r>
    </w:p>
    <w:p>
      <w:pPr>
        <w:spacing w:after="0" w:line="6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Further, our financial institution clients have obligations to safeguard their information technology systems and the confidentiality of customer information. In certain of our businesses, we are bound contractually and/or by regulation to comply with the same requirements. If we fail to comply with these regulations and requirements, we could be exposed to lawsuits for breach of contract, governmental proceedings or the imposition of fines. In addition, future adoption of more restrictive privacy laws, rules or industry security requirements by federal or state regulatory bodies or by a specific industry in which we do business could have an adverse impact on us through increased costs or restrictions on business processes.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new and emerging types of Artificial Intelligence and their uses are very early stage in the industry and may be subject to many uncertain future developments and regulations.</w:t>
      </w:r>
    </w:p>
    <w:p>
      <w:pPr>
        <w:spacing w:after="0" w:line="10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Regulatory agencies are evaluating existing regulatory frameworks for insurance industry wide use of Artificial Intelligence. New artificial intelligence algorithms and predictive models may be used by insurance companies in selling insurance products to consumers. However, the use of new artificial intelligence models may make insurance companies more susceptible to potential bias, discrimination and data breaches. These concerns could lead to development of new, 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modifications to, laws and regulations pertaining to the use of Artificial Intelligence by insurance companies or the broader financial services sector, which may prove to be onerous for companies to implement in a timely manner.</w:t>
      </w:r>
    </w:p>
    <w:p>
      <w:pPr>
        <w:spacing w:after="0" w:line="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use of artificial intelligence and machine learning technologies, including generative artificial intelligence, has increased rapidly with increasing complexity and changes in the nature of the technology. Our potential uses of generative artificial intelligence may be subject to various risks including flaws or limitations in the large language models or training datasets that may result in biased or inaccurate results, ethical considerations, and the ability to safely deploy and implement governance and controls for such systems. Laws and regulations related to artificial intelligence are evolving, and there is uncertainty as to potential adoption of new laws and regulations and the application of existing laws and regulations to use of artificial intelligence, which may restrict or impose burdensome and costly requirements on our ability to use artificial intelligence. In addition, there has been considerable patent and other intellectual property development activity in the artificial intelligence industry, which has resulted in litigation based on allegations of infringement or other violations of intellectual property rights. We may receive claims from third parties, including our competitors, alleging that our use of artificial intelligence technology infringes on or violates such third party's intellectual property rights. Adverse consequences of these risks related to artificial intelligence could undermine the decisions, predictions or analysis such technologies produce and subject us to competitive harm, legal liability, heightened regulatory scrutiny and brand or reputational harm.</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ability to adopt new technologies may be inhibited by the emergence of industry-wide standards, a changing legislative and regulatory environment, an inability to develop appropriate governance and controls, a lack of internal product and engineering expertise, resistance to change from consumers, or lack of appropriate change management processes or the complexity of our systems. In addition, our adoption of new technologies and our introduction of new products and services may expose us to new or enhanced risks, particularly in areas where we have less experience or our existing governance and control systems may be insufficient, which could require us to make substantial expenditures or subject us to legal liability, heightened regulatory scrutiny and brand or reputational harm.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Damage to our reputation may adversely affect our revenues and profitability.</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reputation is a key asset, and our continued success is dependent upon our ability to earn and maintain the trust and confidence of our broad range of customers. We provide our products and services to a wide range of customers, and our ability to attract and retain customers is highly dependent upon the external perceptions of our level of service, trustworthiness, business practices, financial condition and other subjective qualities. Damage to our reputation may arise from a variety of sources including, but not limited to, litigation or regulatory actions, compliance failures, employee misconduct, cybersecurity incidents, unfavorable press coverage and unfavorable comments on social media. Any damage to our reputation could adversely affect our ability to attract and retain customers and employees, potentially leading to a reduction in our revenues and profitability.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respond to rapid changes in technology could adversely affect our results of operations or financial condition.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Rapidly evolving technologies and innovations in software and financial technology could drive changes in how real estate transactions are recorded and processed throughout the mortgage life cycle. There is no guarantee that we will be able to effectively adapt to and utilize changing technology. Existing or new competitors may be able to utilize or create technology more effectively than us, which could result in the loss of market share.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and may be subject to infringement claims.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rely on a combination of contractual rights and copyright, trademark and trade secret laws to establish and protect our intellectual property. Although we use a broad range of measures to protect our intellectual property rights, third parties may infringe or misappropriate our intellectual property. We may have to litigate to enforce and protect our copyrights, trademarks, trade secrets and know-how or to determine their scope, validity or enforceability, which represents a diversion of resources that may be significant in amount and may not prove successful. The loss of intellectual property protection or the inability to secure or enforce the protection of our intellectual property assets could adversely impact our business and our ability to compete effectively.</w:t>
      </w:r>
    </w:p>
    <w:p>
      <w:pPr>
        <w:spacing w:after="0" w:line="5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may be subject to costly litigation in the event that another party alleges our operations or activities infringe upon that party’s intellectual property rights. Third parties may have, or may eventually be issued, patents or other protections that could be infringed by our products, methods, processes or services or could otherwise limit our ability to offer certain product features. We may also be subject to claims by third parties for breach of copyright, trademark, trade secret or license usage rights. Any such claims and any resulting litigation could result in significant expense and liability for damages or we could be enjoined from providing certain products or services to our customers or utilizing and benefiting from certain methods, processes, copyrights, trademarks, trade secrets or licenses, or alternatively, we could be required to enter into costly licensing arrangements with third parties, all of which could have a material adverse effect on our business, results of operations and financial condition.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the subject of various legal proceedings that could have a material adverse effect on our results of operations.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are involved from time to time in various legal proceedings, including in some cases class-action lawsuits and regulatory inquiries, investigations or other proceedings. If we are unsuccessful in our defense of litigation matters or regulatory proceedings, we may be forced to pay damages, fines or penalties and/or change our business practices, any of which could have a material adverse effect on our business and results of operations. See Note H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discussion of pending litigation and regulatory matters and our related accrual.</w:t>
      </w:r>
    </w:p>
    <w:p>
      <w:pPr>
        <w:spacing w:after="0" w:line="5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industry, which could limit our ability to gain or maintain our position in the industry and could materially adversely affect our business, financial condition and results of operations.</w:t>
      </w:r>
    </w:p>
    <w:p>
      <w:pPr>
        <w:spacing w:after="0" w:line="3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F&amp;G insurance subsidiaries operate in a highly competitive industry and encounter significant competition in all of our product lines from other insurance companies, many of which have greater financial resources and higher financial strength ratings than us and that may have a greater market share, offer a broader range of products, services or features, assume a greater level of risk, have lower operating or financing costs or have different profitability expectations than us. Competition could result in, among other things, lower sales or higher lapses of existing products.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F&amp;G's annuity products compete with indexed annuities and fixed rate annuities sold by other insurance companies and also with mutual fund products, traditional bank investments and other retirement funding alternatives offered by asset managers, banks and broker-dealers. The ability of banks and broker dealers to increase their securities-related business or to affiliate with insurance companies may materially and adversely affect sales of all of our products by substantially increasing the number and financial strength of potential competitors. Our insurance products compete with those of other insurance companies, financial intermediaries and other institutions based on a number of factors, including premium rates, policy terms and conditions, service provided to distribution channels and policyholders, ratings by rating agencies, reputation and commission structures.</w:t>
      </w:r>
    </w:p>
    <w:p>
      <w:pPr>
        <w:spacing w:after="0" w:line="58"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F&amp;G's ability to compete is dependent upon, among other things, its ability to develop competitive and profitable products, its ability to maintain low unit costs, its maintenance of adequate financial strength ratings from rating agencies and its ability to attract and retain distribution channels to market its products, the competition for which is vigorous. F&amp;G must anticipate and respond effectively to changes in customer preferences, new industry standards, evolving distribution models, disruptive technology developments and alternate business models. The evolving nature of consumer needs and preferences and improvements in technology could result in a reduction in consumer demand and in the prices of the products and services F&amp;G offers. F&amp;G's competitive position may be impacted they are unable to deploy, in a cost effective and competitive manner, technology such as artificial intelligence and machine learning, or if F&amp;G's competitors collect and use data which they do not have the ability to access or use.</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There is a risk that purchasers may be able to obtain more favorable terms and offerings from competitors, vendors or other third parties, including pricing and technology. Additionally, customers may turn to our competitors as a result of F&amp;G or its client’s failure, or perceived failure, to deliver on customer expectations, product or service flaws, technology issues, gaps in operational support or other issues affecting customer experience. As a result, competition may adversely affect the persistency of F&amp;G's policies, F&amp;G's ability to sell products and provide services, maintain client relationships, and F&amp;G's revenues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key personnel could negatively affect our financial results and impair our operating abilities.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8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highly dependent on information technology in the operation of our various businesses. Cybersecurity is an integral part of our operations and is a focus of all employees, including senior management and our Board.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assess, identify and manage cybersecurity risks through various processes within our Enterprise Risk Management Program and Information Security Program. We focus on all areas of cybersecurity, including threat and vulnerability management, security monitoring, identity and access management, phishing awareness, risk oversight, third-party risk management, disaster recovery and continuity management. We have established policies, including those related to privacy, information security and cybersecurity, and we employ a broad and diversified set of cybersecurity risk monitoring and risk mitigation techniques. Internal audits, external audits and self-assessments are conducted to assess the effectiveness and maturity of our Enterprise Risk Management Program and Information Security Program.</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employees are one of our strongest assets in protecting our customers' information and mitigating cybersecurity risk. We maintain comprehensive and tailored training programs that focus on applicable privacy and cybersecurity requirements. Additionally, we make strategic investments in cybersecurity to protect our customers and information systems, including both capital expenditures and operating expenses for hardware, software, personnel and consulting services.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processes to assess, identify and manage cybersecurity risks, including cybersecurity risks related to the use of third-party service providers, are fully integrated into our Enterprise Risk Management Program. In some circumstances we use third-party service providers to provide expertise and to monitor utilization of specific cyber tools, and in certain cases, to supplement staffing services. Through our vendor risk management process, these vendors undergo various assessments such as financial, reputational, contractual and informational security. These assessments are performed to ascertain that these vendors meet our policy requirements relative to the services they perform on our behalf.</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 further reduce the residual risk associated with cybersecurity, we maintain Miscellaneous Professional Liability Insurance, which provides coverage for cybersecurity incidents. The deductible limits on these policies are determined by a corporate insurance risk management group and executive management at least on an annual basis. This group determines appropriate coverage levels and deductibles for each policy based on tolerance and weighs the coverage against the premium for the policy.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Management's Role in Assessing and Managing Cybersecurity Risk</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Corporate Information Security Group is led by our Chief Information Security Officer ("CISO") who is responsible for our information security strategy. This strategy includes policy management, security engineering, identity and access management, vulnerability management and cyber threat detection and response through our Security Operations Center. Our CISO has extensive information technology and program management experience as do many of our employees in our information security group. Our CISO, as well as others in our information security group, hold certifications such the Certified Information System Security Professional certification. We believe cybersecurity is a shared responsibility throughout the organization and thus we also manage cybersecurity risks, through a cross-functional committee of members of senior management known as the Enterprise Risk Steering Committee, which includes the CISO. The diversity of this group allows for identification of key enterprise risks from strategic, operational, financial, legal, information technology and compliance perspectives. These individuals receive reporting on our cybersecurity programs and also participate in table-top exercises relating to potential security incidents. The CISO is also the primary point of contact for reporting information security incidents and for coordinating information security activities including incident response and digital forensics. Our CISO reports to our Chief Security Officer who also has extensive experience in the information security space.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Board Oversight of Cybersecurity</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Our board has a strong focus on cybersecurity. Our approaches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 See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for discussion of material risks faced by the Company, including risks related to cybersecurity.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2023 Cybersecurity Incident</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November 19, 2023, we became aware of a cybersecurity incident that impacted certain of our systems. We promptly commenced an investigation, retained leading experts to assist the Company, notified law enforcement authorities, regulatory authorities and other stakeholders and followed our incident response plans. In addition, we took containment measures such as blocking access to certain of our systems resulting in varying levels of disruption to our businesses. The incident was contained on November 26, 2023.</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completed our forensic investigation on December 13, 2023. We determined that an unauthorized third-party accessed certain of our systems, deployed a type of malware that is not self-propagating and exfiltrated certain data. We have no evidence that any customer-owned system was directly impacted in the incident, and no customer has reported that this has occurred. The last confirmed date of unauthorized third-party activity in our network occurred on November 20, 2023.</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incident did not have a material impact on the Company.</w:t>
      </w:r>
    </w:p>
    <w:p>
      <w:pPr>
        <w:spacing w:after="0" w:line="9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corporate headquarters are in Jacksonville, Florida in owned facilities. F&amp;G's headquarters are in Des Moines, Iowa in leased facilities.</w:t>
      </w:r>
    </w:p>
    <w:p>
      <w:pPr>
        <w:spacing w:after="0" w:line="81"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The majority of our branch offices are leased from third parties. See Note P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information on our outstanding leases. Our subsidiaries conduct their business operations primarily in leased office space in 47 states, Washington, DC, Canada, India, Bermuda and the Cayman Islands.</w:t>
      </w:r>
    </w:p>
    <w:p>
      <w:pPr>
        <w:spacing w:after="0" w:line="4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a description of our legal proceedings see discussion of </w:t>
      </w:r>
      <w:r>
        <w:rPr>
          <w:rFonts w:ascii="Times New Roman" w:cs="Times New Roman" w:eastAsia="Times New Roman" w:hAnsi="Times New Roman"/>
          <w:sz w:val="14"/>
          <w:szCs w:val="14"/>
          <w:i w:val="1"/>
          <w:iCs w:val="1"/>
          <w:color w:val="auto"/>
        </w:rPr>
        <w:t>Legal and Regulatory Contingencies</w:t>
      </w:r>
      <w:r>
        <w:rPr>
          <w:rFonts w:ascii="Times New Roman" w:cs="Times New Roman" w:eastAsia="Times New Roman" w:hAnsi="Times New Roman"/>
          <w:sz w:val="14"/>
          <w:szCs w:val="14"/>
          <w:color w:val="auto"/>
        </w:rPr>
        <w:t xml:space="preserve"> in Note G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Item 3 of Part I.</w:t>
      </w:r>
    </w:p>
    <w:p>
      <w:pPr>
        <w:spacing w:after="0" w:line="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Mine Safety Disclosures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9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trades on the New York Stock Exchange under the trading symbol "FNF".</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January 31, 2026, the last reported sale price of our common stock on the New York Stock Exchange was $54.39. We had approximately 5,246 shareholders of record on January 31, 2026.</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Refer to Note T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to our Consolidated Financial Statements included in Item 8 of Part II of this Annual Report, which is incorporated by reference into this Item 5 of Part II, for further information on securities issued for employee stock compensation pursuant to our Omnibus Plan.</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concerning securities authorized for issuance under our equity compensation plans will be included in Item 12 of Part III of this Annual Report.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 Graph</w:t>
      </w:r>
    </w:p>
    <w:p>
      <w:pPr>
        <w:spacing w:after="0" w:line="74" w:lineRule="exact"/>
        <w:rPr>
          <w:sz w:val="20"/>
          <w:szCs w:val="20"/>
          <w:color w:val="auto"/>
        </w:rPr>
      </w:pPr>
    </w:p>
    <w:p>
      <w:pPr>
        <w:jc w:val="both"/>
        <w:ind w:right="80" w:firstLine="255"/>
        <w:spacing w:after="0" w:line="264" w:lineRule="auto"/>
        <w:rPr>
          <w:sz w:val="20"/>
          <w:szCs w:val="20"/>
          <w:color w:val="auto"/>
        </w:rPr>
      </w:pPr>
      <w:r>
        <w:rPr>
          <w:rFonts w:ascii="Times New Roman" w:cs="Times New Roman" w:eastAsia="Times New Roman" w:hAnsi="Times New Roman"/>
          <w:sz w:val="14"/>
          <w:szCs w:val="14"/>
          <w:color w:val="auto"/>
        </w:rPr>
        <w:t>Set forth below is a graph comparing cumulative total shareholder return on our FNF common stock against the cumulative total return on the S&amp;P 500 Index and against the cumulative total return of a peer group index consisting of certain companies in the primary industry in which we compete (SIC code 6361 — Title Insurance) for the period ending December 31, 2025.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2020,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wp:posOffset>
            </wp:positionV>
            <wp:extent cx="4608195" cy="382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08195" cy="382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i w:val="1"/>
          <w:iCs w:val="1"/>
          <w:color w:val="auto"/>
        </w:rPr>
        <w:t>The stock price performance included in this graph is not necessarily indicative of future stock price performance.</w:t>
      </w:r>
    </w:p>
    <w:p>
      <w:pPr>
        <w:spacing w:after="0" w:line="27"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2900" w:type="dxa"/>
            <w:vAlign w:val="bottom"/>
            <w:tcBorders>
              <w:top w:val="single" w:sz="8" w:color="auto"/>
              <w:bottom w:val="single" w:sz="8" w:color="auto"/>
            </w:tcBorders>
          </w:tcPr>
          <w:p>
            <w:pPr>
              <w:spacing w:after="0"/>
              <w:rPr>
                <w:sz w:val="14"/>
                <w:szCs w:val="14"/>
                <w:color w:val="auto"/>
              </w:rPr>
            </w:pPr>
          </w:p>
        </w:tc>
        <w:tc>
          <w:tcPr>
            <w:tcW w:w="246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12/31/2020</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12/31/2021</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12/31/2022</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12/31/2023</w:t>
            </w:r>
          </w:p>
        </w:tc>
        <w:tc>
          <w:tcPr>
            <w:tcW w:w="120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12/31/2024</w:t>
            </w:r>
          </w:p>
        </w:tc>
        <w:tc>
          <w:tcPr>
            <w:tcW w:w="9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12/31/2025</w:t>
            </w:r>
          </w:p>
        </w:tc>
      </w:tr>
      <w:tr>
        <w:trPr>
          <w:trHeight w:val="200"/>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Fidelity National Financial, Inc.</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138.38</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108.77</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154.85</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176.86</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184.8</w:t>
            </w: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S&amp;P 500</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128.71</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105.40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133.10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166.40</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196.1</w:t>
            </w:r>
          </w:p>
        </w:tc>
      </w:tr>
      <w:tr>
        <w:trPr>
          <w:trHeight w:val="159"/>
        </w:trPr>
        <w:tc>
          <w:tcPr>
            <w:tcW w:w="2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Peer Group</w:t>
            </w:r>
          </w:p>
        </w:tc>
        <w:tc>
          <w:tcPr>
            <w:tcW w:w="24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100.00</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158.44</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105.48</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137.52</w:t>
            </w:r>
          </w:p>
        </w:tc>
        <w:tc>
          <w:tcPr>
            <w:tcW w:w="12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142.86</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19, 2026, our Board of Directors formally declared a $0.52 per FNF share cash dividend that is payable on March 31, 2026, to FNF shareholders of record as of March 17,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years ended December 31, 2025, 2024, and 2023, we declared dividends on our common stock of $2.02, $1.94, and $1.83, respectively.</w:t>
      </w:r>
    </w:p>
    <w:p>
      <w:pPr>
        <w:spacing w:after="0" w:line="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Purchases of Equity Securities by the Issuer</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July 31, 2024, our Board of Directors approved a new three-year stock repurchase program effective July 31, 2024 (the "2024 Repurchase Program") under which we are authorized to purchase up to 25 million shares of our FNF common stock through July 31, 2027. Since the commencement of the 2024 Repurchase Program, we repurchased a total of 4,426,224 FNF common shares for approximately $252 million, at an average price of $56.80 per share. Subsequent to December 31, 2025 ,and through market close on February 19, 2026, we repurchased a total of 60,000 shares, for approximately $3 million, or an average of $55.66 under the 2024 Repurchase Program.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6. </w:t>
      </w:r>
      <w:r>
        <w:rPr>
          <w:rFonts w:ascii="Times New Roman" w:cs="Times New Roman" w:eastAsia="Times New Roman" w:hAnsi="Times New Roman"/>
          <w:sz w:val="14"/>
          <w:szCs w:val="14"/>
          <w:b w:val="1"/>
          <w:bCs w:val="1"/>
          <w:i w:val="1"/>
          <w:iCs w:val="1"/>
          <w:color w:val="auto"/>
        </w:rPr>
        <w:t>Reserved.</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discussion should be read in conjunction with the Consolidated Financial Statements and the Notes thereto and Selected Financial Data included elsewhere in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a description of our business, including descriptions of segments, see the discussion under Business in Item 1 of Part I of this Annual Report, which is incorporated by reference into this Item 7 of Part II of this Annual Report.</w:t>
      </w:r>
    </w:p>
    <w:p>
      <w:pPr>
        <w:spacing w:after="0" w:line="3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June 11, 2025, the Company effected a redomestication of the Company from the State of Delaware to the State of Nevada (the “Redomestication”). As of June 11, 2025, the affairs of the Company ceased to be governed by the Delaware General Corporation Law and the Company adopted a new certificate of incorporation and bylaws governed by the Nevada Revised Statutes. The Redomestication did not result in any change in the business, physical location, management, assets, liabilities, or net worth of the Company, nor did it result in any change in location of the Company’s current employees, including management. The Redomestication did not affect any of the Company’s material contracts with any third parties, and the Company’s rights and obligations under those material contractual arrangements will continue to be the rights and obligations of the Company after the Redomestication. The daily business operations of the Company will continue as they were conducted prior to the Redomestication. The consolidated financial condition and results of operations of the Company immediately after consummation of the Redomestication remain the same as immediately before the Redomestication.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Trends and Conditions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Title segment revenue is closely related to the level of real estate activity that includes sales, mortgage financing and mortgage refinancing. Declines in the level of real estate activity or the average price of real estate sales will adversely affect our title insurance revenues.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found that residential real estate activity is generally dependent on the following factors:</w:t>
      </w:r>
    </w:p>
    <w:p>
      <w:pPr>
        <w:spacing w:after="0" w:line="83"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interest rates;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funding supply;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housing inventory and home prices;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supply and demand for commercial real estate;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the United States economy, including employment levels.</w:t>
      </w:r>
    </w:p>
    <w:p>
      <w:pPr>
        <w:spacing w:after="0" w:line="58" w:lineRule="exact"/>
        <w:rPr>
          <w:sz w:val="20"/>
          <w:szCs w:val="20"/>
          <w:color w:val="auto"/>
        </w:rPr>
      </w:pPr>
    </w:p>
    <w:p>
      <w:pPr>
        <w:jc w:val="both"/>
        <w:ind w:firstLine="255"/>
        <w:spacing w:after="0" w:line="273" w:lineRule="auto"/>
        <w:rPr>
          <w:sz w:val="20"/>
          <w:szCs w:val="20"/>
          <w:color w:val="auto"/>
        </w:rPr>
      </w:pPr>
      <w:r>
        <w:rPr>
          <w:rFonts w:ascii="Times New Roman" w:cs="Times New Roman" w:eastAsia="Times New Roman" w:hAnsi="Times New Roman"/>
          <w:sz w:val="14"/>
          <w:szCs w:val="14"/>
          <w:color w:val="auto"/>
        </w:rPr>
        <w:t>The most recent forecast of the MBA, as of February 17, 2026, estimated (actual for fiscal year 2024) the size of the U.S. residential mortgage originations market as shown in the following table for 2024 - 2028 in its "Mortgage Finance Forecast" (in trillions):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2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2028</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2027</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 transactions</w:t>
            </w:r>
          </w:p>
        </w:tc>
        <w:tc>
          <w:tcPr>
            <w:tcW w:w="56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3"/>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Refinance transactions</w:t>
            </w:r>
          </w:p>
        </w:tc>
        <w:tc>
          <w:tcPr>
            <w:tcW w:w="5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w:t>
            </w:r>
          </w:p>
        </w:tc>
      </w:tr>
      <w:tr>
        <w:trPr>
          <w:trHeight w:val="181"/>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U.S. mortgage originations forecast</w:t>
            </w: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Federal Reserve raised the benchmark interest rate from near zero as of March 2022 to a range between 5.25% and 5.50% in July 2023 in an effort to combat inflation. Following a decline in inflation in 2024, the Federal Reserve reduced the benchmark rate to a range of 4.25% and 4.50% as of December 31, 2024. The Federal Reserve further reduced the benchmark rate by 75 basis points in 2025 to a range of 3.50% and 3.75% as of December 31, 2025. Average interest rates for a 30-year fixed rate mortgage were averaged 6.6%, 6.7% and 6.8% during the years ended December 31, 2025, 2024 and 2023, respectively.</w:t>
      </w:r>
    </w:p>
    <w:p>
      <w:pPr>
        <w:spacing w:after="0" w:line="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shortage in the supply of homes for sale, increasing home prices, varying mortgage interest rates, inflation, disrupted labor markets, and geopolitical uncertainties created a challenging residential real estate market in 2023, 2024, and 2025. In early 2026, the federal government implemented or proposed reforms to address housing and home affordability, including a directive to certain government-sponsored enterprises to purchase up to $200 billion of mortgage-backed securities in an effort to lower interest rates, enhance affordability and reduce the spread between mortgage rates and Treasury yields.</w:t>
      </w:r>
    </w:p>
    <w:p>
      <w:pPr>
        <w:spacing w:after="0" w:line="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Existing-home sales increased 1% in December 2025 as compared to the corresponding month in 2024, while median existing-home sales prices rose to $405,400 in December 2025, a 0.4% increase over the corresponding month in 2024. Existing-home sales decreased 9% in December 2024 as compared to the corresponding month in 2023, while median existing-home sales prices rose to $404,400 in December 2024, a 6% increase over the corresponding month in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According to the U.S. Department of Labor's Bureau of Labor, the unemployment rate was near record lows throughout 2023. The unemployment rate was 4.4%, 4.1% and 3.7% in December of 2025, 2024 and 2023, respectively.</w:t>
      </w:r>
    </w:p>
    <w:p>
      <w:pPr>
        <w:spacing w:after="0" w:line="2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issue commercial title insurance policies in sectors including office, industrial, energy, hospitality, retail and multi-family, among others. The demand for commercial title insurance varies based on a variety of factors such as investor appetite, financing availability and supply and demand in a particular area. Because commercial real estate transactions tend to be generally driven by supply and demand for commercial space in a particular area rather than by interest rate fluctuations, we believe that our commercial real estate title insurance business is less dependent on the industry cycles discussed above than our residential real estate title business.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experienced fluctuating demand in commercial real estate markets. Commercial volumes were depressed throughout 2023 and 2024 when compared to recent preceding years. Commercial volumes increased significantly in 2025. The increase in commercial volumes in 2025 was broad-based, across several asset classes.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16"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Seasonality. </w:t>
      </w:r>
      <w:r>
        <w:rPr>
          <w:rFonts w:ascii="Times New Roman" w:cs="Times New Roman" w:eastAsia="Times New Roman" w:hAnsi="Times New Roman"/>
          <w:sz w:val="14"/>
          <w:szCs w:val="14"/>
          <w:color w:val="auto"/>
        </w:rPr>
        <w:t>Historically, real estate transactions have produced seasonal revenue fluctuations in the real estate industry. The first calendar quarter is typically the weakest quarter in terms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We have noted short-term fluctuations through recent years in resale and refinance transactions as a result of changes in interest rates.</w:t>
      </w:r>
    </w:p>
    <w:p>
      <w:pPr>
        <w:spacing w:after="0" w:line="5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Geographic Operations. </w:t>
      </w:r>
      <w:r>
        <w:rPr>
          <w:rFonts w:ascii="Times New Roman" w:cs="Times New Roman" w:eastAsia="Times New Roman" w:hAnsi="Times New Roman"/>
          <w:sz w:val="14"/>
          <w:szCs w:val="14"/>
          <w:color w:val="auto"/>
        </w:rPr>
        <w:t>Our direct title operations are divided into approximately 166 profit centers. Each profit center processes title insurance transactions within its geographical area,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usually identified by a county, a group of counties forming a region, or a state, depending on the management structure in that part of the country. We also transact title insurance business through a network of approximately 5,100 agents, primarily in those areas in which agents are the more prevalent title insurance provider. Substantially all of our revenues are generated in the United States.</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approximate dollar and percentage volumes of our title insurance premium revenue by state: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54"/>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8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0"/>
        </w:trPr>
        <w:tc>
          <w:tcPr>
            <w:tcW w:w="40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80" w:type="dxa"/>
            <w:vAlign w:val="bottom"/>
            <w:tcBorders>
              <w:bottom w:val="single" w:sz="8" w:color="auto"/>
            </w:tcBorders>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14.3 %</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13.0</w:t>
            </w: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10.7</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Illinois</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6.0</w:t>
            </w: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280" w:type="dxa"/>
            <w:vAlign w:val="bottom"/>
            <w:gridSpan w:val="3"/>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4.9</w:t>
            </w: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All others</w:t>
            </w:r>
          </w:p>
        </w:tc>
        <w:tc>
          <w:tcPr>
            <w:tcW w:w="22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3,095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2,687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w:t>
            </w:r>
          </w:p>
        </w:tc>
        <w:tc>
          <w:tcPr>
            <w:tcW w:w="128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51.1</w:t>
            </w:r>
          </w:p>
        </w:tc>
      </w:tr>
      <w:tr>
        <w:trPr>
          <w:trHeight w:val="181"/>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Totals</w:t>
            </w: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4,597</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37"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Market Conditions. </w:t>
      </w:r>
      <w:r>
        <w:rPr>
          <w:rFonts w:ascii="Times New Roman" w:cs="Times New Roman" w:eastAsia="Times New Roman" w:hAnsi="Times New Roman"/>
          <w:sz w:val="14"/>
          <w:szCs w:val="14"/>
          <w:color w:val="auto"/>
        </w:rPr>
        <w:t>Market conditions can change rapidly with significant positive or negative impacts on our results. Volatility can pressure sales and reduce demand as consumers hesitate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make financial decisions. We anticipate various macroeconomic factors will continue to drive uncertainty and instability, which could have a significant impact on the Company during fiscal year 2026. These factors include, among others, consumer spending, business investment, government spending, government shutdown, the volatility and strength of the capital markets, investor and consumer confidence, foreign currency exchange rates, commodity prices, inflation levels, changes in trade policy, tariffs and trade sanctions on goods, trade wars, United States-China relations and supply chain disruptions.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light of increasing uncertainty in the markets we serve, we are unable to predict how long the current environment will last or the significance of the financial and operational impacts to us. To enhance the attractiveness and profitability of our products and services, we continually monitor the behavior of our customers, as evidenced by annuitization rates and lapse rates, which vary in response to changes in market conditions. See “</w:t>
      </w:r>
      <w:r>
        <w:rPr>
          <w:rFonts w:ascii="Times New Roman" w:cs="Times New Roman" w:eastAsia="Times New Roman" w:hAnsi="Times New Roman"/>
          <w:sz w:val="14"/>
          <w:szCs w:val="14"/>
          <w:i w:val="1"/>
          <w:iCs w:val="1"/>
          <w:color w:val="auto"/>
        </w:rPr>
        <w:t>Part I. Item 1A. Risk Factors”</w:t>
      </w:r>
      <w:r>
        <w:rPr>
          <w:rFonts w:ascii="Times New Roman" w:cs="Times New Roman" w:eastAsia="Times New Roman" w:hAnsi="Times New Roman"/>
          <w:sz w:val="14"/>
          <w:szCs w:val="14"/>
          <w:color w:val="auto"/>
        </w:rPr>
        <w:t xml:space="preserve"> in this Annual Report on Form 10-K for further discussion of risk factors that could affect market conditions.</w:t>
      </w:r>
    </w:p>
    <w:p>
      <w:pPr>
        <w:spacing w:after="0" w:line="49"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Interest Rate Environment. </w:t>
      </w:r>
      <w:r>
        <w:rPr>
          <w:rFonts w:ascii="Times New Roman" w:cs="Times New Roman" w:eastAsia="Times New Roman" w:hAnsi="Times New Roman"/>
          <w:sz w:val="14"/>
          <w:szCs w:val="14"/>
          <w:color w:val="auto"/>
        </w:rPr>
        <w:t>Some of our products include guaranteed minimum crediting rates, most notably our fixed rate annuities. As of December 31, 2025 and December 31, 2024,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reserves, net of reinsurance, and average crediting rate on our fixed rate annuities were $6.4 billion and 4.8%, respectively, and $6.4 billion and 4.4%,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Quantitative and Qualitative Disclosure about Market Risk</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Part I. Item 1A. Risk Factors</w:t>
      </w:r>
      <w:r>
        <w:rPr>
          <w:rFonts w:ascii="Times New Roman" w:cs="Times New Roman" w:eastAsia="Times New Roman" w:hAnsi="Times New Roman"/>
          <w:sz w:val="14"/>
          <w:szCs w:val="14"/>
          <w:color w:val="auto"/>
        </w:rPr>
        <w:t>” in this Annual Report on Form 10-K for a more detailed discussion of interest rate risk.</w:t>
      </w:r>
    </w:p>
    <w:p>
      <w:pPr>
        <w:spacing w:after="0" w:line="200"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Aging of the U.S. Population. </w:t>
      </w:r>
      <w:r>
        <w:rPr>
          <w:rFonts w:ascii="Times New Roman" w:cs="Times New Roman" w:eastAsia="Times New Roman" w:hAnsi="Times New Roman"/>
          <w:sz w:val="14"/>
          <w:szCs w:val="14"/>
          <w:color w:val="auto"/>
        </w:rPr>
        <w:t>We believe that the aging of the U.S. population will continue to increase demand for retirement savings, growth, and income solutions, including demand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indexed annuity and indexed universal life (“IUL”) products. We serve a growing retirement population, with more than 11,000 Americans turning 65 every day and a projected 30% increase in people age 65-100 over the next 25 years according to the U.S. Census Bureau. The impact of this growth may be offset to some extent by asset outflows as an increasing percentage of the population begins withdrawing assets to convert their savings into income.</w:t>
      </w:r>
    </w:p>
    <w:p>
      <w:pPr>
        <w:spacing w:after="0" w:line="53"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Industry Factors and Trends Affecting Our Results of Operations. </w:t>
      </w:r>
      <w:r>
        <w:rPr>
          <w:rFonts w:ascii="Times New Roman" w:cs="Times New Roman" w:eastAsia="Times New Roman" w:hAnsi="Times New Roman"/>
          <w:sz w:val="14"/>
          <w:szCs w:val="14"/>
          <w:color w:val="auto"/>
        </w:rPr>
        <w:t>We operate in the sector of the insurance industry that focuses on the needs of middle-income Americans. The underserved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middle-income market represents a major growth opportunity for us. As a tool for addressing the unmet need for retirement planning, we believe that many middle-income Americans have grown to appreciate the financial certainty that we believe annuities such as our indexed annuity products afford. For example, the fixed index annuity market grew from nearly $12 billion of sales in 2002 to $130 billion of sales in 2024 and the registered index-linked annuities (“RILA”) market grew from $17 billion of sales in 2019 to $62 billion of sales in 2024. Additionally, this market demand has positively impacted the IUL market as it has expanded from $100 million of annual sales in 2002 to $2 billion of annual sales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to our Consolidated Financial Statements included in Item 8 of Part II of this Annual Report for additional description of the significant accounting policies that have been followed in preparing our Consolidated Financial Statements.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Reserve for Title Claim Losses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Title companies issue two types of policies, owner's and lender's policies, since both the new owner and the lender in real 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summarizes our reserves for known claims and incurred but not reported claims related to title insurance:</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55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5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0"/>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Known claims</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13.1 %</w:t>
            </w:r>
          </w:p>
        </w:tc>
        <w:tc>
          <w:tcPr>
            <w:tcW w:w="100" w:type="dxa"/>
            <w:vAlign w:val="bottom"/>
          </w:tcPr>
          <w:p>
            <w:pPr>
              <w:spacing w:after="0"/>
              <w:rPr>
                <w:sz w:val="13"/>
                <w:szCs w:val="13"/>
                <w:color w:val="auto"/>
              </w:rPr>
            </w:pPr>
          </w:p>
        </w:tc>
        <w:tc>
          <w:tcPr>
            <w:tcW w:w="1300" w:type="dxa"/>
            <w:vAlign w:val="bottom"/>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12.2 %</w:t>
            </w:r>
          </w:p>
        </w:tc>
      </w:tr>
      <w:tr>
        <w:trPr>
          <w:trHeight w:val="16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IBNR</w:t>
            </w: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1,478</w:t>
            </w:r>
          </w:p>
        </w:tc>
        <w:tc>
          <w:tcPr>
            <w:tcW w:w="10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86.9</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1,504</w:t>
            </w:r>
          </w:p>
        </w:tc>
        <w:tc>
          <w:tcPr>
            <w:tcW w:w="16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87.8</w:t>
            </w:r>
          </w:p>
        </w:tc>
      </w:tr>
      <w:tr>
        <w:trPr>
          <w:trHeight w:val="156"/>
        </w:trPr>
        <w:tc>
          <w:tcPr>
            <w:tcW w:w="5580" w:type="dxa"/>
            <w:vAlign w:val="bottom"/>
          </w:tcPr>
          <w:p>
            <w:pPr>
              <w:spacing w:after="0"/>
              <w:rPr>
                <w:sz w:val="20"/>
                <w:szCs w:val="20"/>
                <w:color w:val="auto"/>
              </w:rPr>
            </w:pPr>
            <w:r>
              <w:rPr>
                <w:rFonts w:ascii="Times New Roman" w:cs="Times New Roman" w:eastAsia="Times New Roman" w:hAnsi="Times New Roman"/>
                <w:sz w:val="11"/>
                <w:szCs w:val="11"/>
                <w:color w:val="auto"/>
              </w:rPr>
              <w:t>Total Reserve for Title Claim Losses</w:t>
            </w: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1,700</w:t>
            </w:r>
          </w:p>
        </w:tc>
        <w:tc>
          <w:tcPr>
            <w:tcW w:w="10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130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that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subtracting actual paid claims, resulting in an amount that management then compares to the range of reasonable estimates provided by the actuarial calculation.</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recorded our loss provision rate at 4.5% for the years ended December 31, 2025, 2024, and 2023 related to policies written in those years. The provision rate in 2025, 2024, and 2023 is supported by stability in payments for prior policy years, and qualitative factors that would indicate consistency, including consistency in lender underwriting standards, extension of credit to quality borrowers, a high proportion of refinance activity, claims expense management, mechanic’s lien underwriting practices, and fraud awareness by lenders, title insurers and settlement agents.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table below presents our title insurance loss development experience for the past three years: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60" w:type="dxa"/>
            <w:vAlign w:val="bottom"/>
          </w:tcPr>
          <w:p>
            <w:pPr>
              <w:spacing w:after="0"/>
              <w:rPr>
                <w:sz w:val="13"/>
                <w:szCs w:val="13"/>
                <w:color w:val="auto"/>
              </w:rPr>
            </w:pP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4"/>
        </w:trPr>
        <w:tc>
          <w:tcPr>
            <w:tcW w:w="7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74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0" w:type="dxa"/>
            <w:vAlign w:val="bottom"/>
          </w:tcPr>
          <w:p>
            <w:pPr>
              <w:spacing w:after="0"/>
              <w:rPr>
                <w:sz w:val="1"/>
                <w:szCs w:val="1"/>
                <w:color w:val="auto"/>
              </w:rPr>
            </w:pPr>
          </w:p>
        </w:tc>
      </w:tr>
      <w:tr>
        <w:trPr>
          <w:trHeight w:val="153"/>
        </w:trPr>
        <w:tc>
          <w:tcPr>
            <w:tcW w:w="7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reinsurance recoverable</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loss provision related to:</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7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 loss provision</w:t>
            </w:r>
          </w:p>
        </w:tc>
        <w:tc>
          <w:tcPr>
            <w:tcW w:w="7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56"/>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paid, net of recoupments related to:</w:t>
            </w:r>
          </w:p>
        </w:tc>
        <w:tc>
          <w:tcPr>
            <w:tcW w:w="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6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7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0" w:type="dxa"/>
            <w:vAlign w:val="bottom"/>
          </w:tcPr>
          <w:p>
            <w:pPr>
              <w:spacing w:after="0"/>
              <w:rPr>
                <w:sz w:val="1"/>
                <w:szCs w:val="1"/>
                <w:color w:val="auto"/>
              </w:rPr>
            </w:pPr>
          </w:p>
        </w:tc>
      </w:tr>
      <w:tr>
        <w:trPr>
          <w:trHeight w:val="144"/>
        </w:trPr>
        <w:tc>
          <w:tcPr>
            <w:tcW w:w="7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claims paid, net of recoupments</w:t>
            </w: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0" w:type="dxa"/>
            <w:vAlign w:val="bottom"/>
          </w:tcPr>
          <w:p>
            <w:pPr>
              <w:spacing w:after="0"/>
              <w:rPr>
                <w:sz w:val="1"/>
                <w:szCs w:val="1"/>
                <w:color w:val="auto"/>
              </w:rPr>
            </w:pPr>
          </w:p>
        </w:tc>
      </w:tr>
      <w:tr>
        <w:trPr>
          <w:trHeight w:val="181"/>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of claim loss reserve for title insurance</w:t>
            </w:r>
          </w:p>
        </w:tc>
        <w:tc>
          <w:tcPr>
            <w:tcW w:w="74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Title premiums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760" w:type="dxa"/>
            <w:vAlign w:val="bottom"/>
            <w:vMerge w:val="continue"/>
          </w:tcPr>
          <w:p>
            <w:pPr>
              <w:spacing w:after="0"/>
              <w:rPr>
                <w:sz w:val="9"/>
                <w:szCs w:val="9"/>
                <w:color w:val="auto"/>
              </w:rPr>
            </w:pPr>
          </w:p>
        </w:tc>
        <w:tc>
          <w:tcPr>
            <w:tcW w:w="740" w:type="dxa"/>
            <w:vAlign w:val="bottom"/>
          </w:tcPr>
          <w:p>
            <w:pPr>
              <w:jc w:val="right"/>
              <w:ind w:right="603"/>
              <w:spacing w:after="0" w:line="110"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5,824</w:t>
            </w:r>
          </w:p>
        </w:tc>
        <w:tc>
          <w:tcPr>
            <w:tcW w:w="100" w:type="dxa"/>
            <w:vAlign w:val="bottom"/>
          </w:tcPr>
          <w:p>
            <w:pPr>
              <w:spacing w:after="0"/>
              <w:rPr>
                <w:sz w:val="9"/>
                <w:szCs w:val="9"/>
                <w:color w:val="auto"/>
              </w:rPr>
            </w:pPr>
          </w:p>
        </w:tc>
        <w:tc>
          <w:tcPr>
            <w:tcW w:w="160" w:type="dxa"/>
            <w:vAlign w:val="bottom"/>
          </w:tcPr>
          <w:p>
            <w:pPr>
              <w:jc w:val="right"/>
              <w:ind w:right="23"/>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5,153</w:t>
            </w:r>
          </w:p>
        </w:tc>
        <w:tc>
          <w:tcPr>
            <w:tcW w:w="100" w:type="dxa"/>
            <w:vAlign w:val="bottom"/>
          </w:tcPr>
          <w:p>
            <w:pPr>
              <w:spacing w:after="0"/>
              <w:rPr>
                <w:sz w:val="9"/>
                <w:szCs w:val="9"/>
                <w:color w:val="auto"/>
              </w:rPr>
            </w:pPr>
          </w:p>
        </w:tc>
        <w:tc>
          <w:tcPr>
            <w:tcW w:w="260" w:type="dxa"/>
            <w:vAlign w:val="bottom"/>
          </w:tcPr>
          <w:p>
            <w:pPr>
              <w:jc w:val="right"/>
              <w:ind w:right="143"/>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4,592</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Provision for title insurance claim losses as a percentage of title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148195" cy="107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Current year</w:t>
      </w:r>
    </w:p>
    <w:p>
      <w:pPr>
        <w:spacing w:after="0" w:line="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48195" cy="100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1"/>
          <w:szCs w:val="11"/>
          <w:color w:val="auto"/>
        </w:rPr>
        <w:t>Total provision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1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99"/>
        </w:trPr>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4.5 %</w:t>
            </w:r>
          </w:p>
        </w:tc>
      </w:tr>
      <w:tr>
        <w:trPr>
          <w:trHeight w:val="169"/>
        </w:trPr>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4.5 %</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6820" w:space="720"/>
            <w:col w:w="3740"/>
          </w:cols>
          <w:pgMar w:left="300" w:top="125" w:right="319" w:bottom="1440" w:gutter="0" w:footer="0" w:header="0"/>
          <w:type w:val="continuous"/>
        </w:sectPr>
      </w:pPr>
    </w:p>
    <w:p>
      <w:pPr>
        <w:ind w:left="260"/>
        <w:spacing w:after="0"/>
        <w:rPr>
          <w:sz w:val="20"/>
          <w:szCs w:val="20"/>
          <w:color w:val="auto"/>
        </w:rPr>
      </w:pPr>
      <w:r>
        <w:rPr>
          <w:rFonts w:ascii="Times New Roman" w:cs="Times New Roman" w:eastAsia="Times New Roman" w:hAnsi="Times New Roman"/>
          <w:sz w:val="14"/>
          <w:szCs w:val="14"/>
          <w:color w:val="auto"/>
        </w:rPr>
        <w:t>Actual claims payments consist of loss payments and claims management expenses offset by recoupments and were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Loss Payments</w:t>
            </w:r>
          </w:p>
        </w:tc>
        <w:tc>
          <w:tcPr>
            <w:tcW w:w="1220" w:type="dxa"/>
            <w:vAlign w:val="bottom"/>
            <w:gridSpan w:val="2"/>
          </w:tcPr>
          <w:p>
            <w:pPr>
              <w:jc w:val="center"/>
              <w:ind w:left="3"/>
              <w:spacing w:after="0"/>
              <w:rPr>
                <w:sz w:val="20"/>
                <w:szCs w:val="20"/>
                <w:color w:val="auto"/>
              </w:rPr>
            </w:pPr>
            <w:r>
              <w:rPr>
                <w:rFonts w:ascii="Times New Roman" w:cs="Times New Roman" w:eastAsia="Times New Roman" w:hAnsi="Times New Roman"/>
                <w:sz w:val="11"/>
                <w:szCs w:val="11"/>
                <w:b w:val="1"/>
                <w:bCs w:val="1"/>
                <w:color w:val="auto"/>
              </w:rPr>
              <w:t>Claims Management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Recoupments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Net Loss Payments</w:t>
            </w:r>
          </w:p>
        </w:tc>
        <w:tc>
          <w:tcPr>
            <w:tcW w:w="0" w:type="dxa"/>
            <w:vAlign w:val="bottom"/>
          </w:tcPr>
          <w:p>
            <w:pPr>
              <w:spacing w:after="0"/>
              <w:rPr>
                <w:sz w:val="1"/>
                <w:szCs w:val="1"/>
                <w:color w:val="auto"/>
              </w:rPr>
            </w:pPr>
          </w:p>
        </w:tc>
      </w:tr>
      <w:tr>
        <w:trPr>
          <w:trHeight w:val="153"/>
        </w:trPr>
        <w:tc>
          <w:tcPr>
            <w:tcW w:w="6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ind w:left="283"/>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gridSpan w:val="2"/>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2025</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207</w:t>
            </w:r>
          </w:p>
        </w:tc>
        <w:tc>
          <w:tcPr>
            <w:tcW w:w="92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117</w:t>
            </w:r>
          </w:p>
        </w:tc>
        <w:tc>
          <w:tcPr>
            <w:tcW w:w="100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0" w:type="dxa"/>
            <w:vAlign w:val="bottom"/>
          </w:tcPr>
          <w:p>
            <w:pPr>
              <w:spacing w:after="0"/>
              <w:rPr>
                <w:sz w:val="1"/>
                <w:szCs w:val="1"/>
                <w:color w:val="auto"/>
              </w:rPr>
            </w:pPr>
          </w:p>
        </w:tc>
      </w:tr>
      <w:tr>
        <w:trPr>
          <w:trHeight w:val="153"/>
        </w:trPr>
        <w:tc>
          <w:tcPr>
            <w:tcW w:w="64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140" w:type="dxa"/>
            <w:vAlign w:val="bottom"/>
          </w:tcPr>
          <w:p>
            <w:pPr>
              <w:spacing w:after="0"/>
              <w:rPr>
                <w:sz w:val="13"/>
                <w:szCs w:val="13"/>
                <w:color w:val="auto"/>
              </w:rPr>
            </w:pP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204</w:t>
            </w:r>
          </w:p>
        </w:tc>
        <w:tc>
          <w:tcPr>
            <w:tcW w:w="920" w:type="dxa"/>
            <w:vAlign w:val="bottom"/>
          </w:tcPr>
          <w:p>
            <w:pPr>
              <w:spacing w:after="0"/>
              <w:rPr>
                <w:sz w:val="13"/>
                <w:szCs w:val="13"/>
                <w:color w:val="auto"/>
              </w:rPr>
            </w:pPr>
          </w:p>
        </w:tc>
        <w:tc>
          <w:tcPr>
            <w:tcW w:w="3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123</w:t>
            </w:r>
          </w:p>
        </w:tc>
        <w:tc>
          <w:tcPr>
            <w:tcW w:w="10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1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6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169</w:t>
            </w:r>
          </w:p>
        </w:tc>
        <w:tc>
          <w:tcPr>
            <w:tcW w:w="9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128</w:t>
            </w:r>
          </w:p>
        </w:tc>
        <w:tc>
          <w:tcPr>
            <w:tcW w:w="10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our recorded reserves were $1,700 million and $1,713 million, respectively, which we determined were reasonable and represented our best estimate and these recorded amounts were within a reasonable range of the central estimates provided by our actuaries. Our recorded reserves were $34 million above the mid-point of the provided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range of $1.5 billion to $1.9 billion of our actuarial estimates as of December 31, 2025. Our recorded reserves were $61 million above the mid-point of the provided range of our actuarial estimates of $1.5 billion to $1.9 billion as of December 31, 2024.</w:t>
      </w:r>
    </w:p>
    <w:p>
      <w:pPr>
        <w:spacing w:after="0" w:line="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During 2025, 2024, and 2023, payment patterns were consistent with our actuaries' and management's expectations. Also, compared to prior years we have seen a leveling off of the ultimate loss ratios in more mature policy years, particularly 2006-2009. While we still see claims opened on these policy years, the proportion of our claims inventory represented by these policy years has continued to decrease. Additionally, we continued to see stable development relating to the 2012 through 2022 policy years, which we believe is indicative of more stringent underwriting standards by us and the lending industry. Policy years 2024 and 2023 have seen some increased levels of early reported and paid claims. Many early reported and paid claims relate to fraudulent activity, such as wire fraud and other types of real estate fraud. Fraud claims are typically reported and paid quickly and are not the type of claims to develop over time in the same manner of other claim types due to a shorter reporting tail. Additionally, the early negative development in 2024 and 2023 is offset by the positive development of policy years 2022 and prior. We continue to watch the development of the more recent years, in addition to historical averages and economic factors when analyzing the current provision rates. Our ending open claim inventory increased from approximately 8,300 claims as of December 31, 2024, to approximately 8,500 claims as of December 31, 2025. If actual claims loss development varies from what is currently expected and is not offset by other factors, it is possible that our recorded reserves may fall outside a reasonable range of our actuaries' central estimate, which may require additional reserve adjustments in future periods.</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An approximate $58 million increase (decrease) in our annualized provision for title claim losses would occur if our loss provision rate were 1% higher (lower), based on 2025 title premiums of $5.8 billion. A 10% increase (decrease) in our reserve for title claim losses, as of December 31, 2025, would result in an increase (decrease) in our provision for title claim losses of approximately $170 million.</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Reserves for Future Policy Benefits and Certain Information on Contractholder Funds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determination of FPB reserves is dependent on actuarial assumptions. The principal assumptions used to establish liabilities for FPBs are established at issue of the contract and include discount rates, mortality and cash surrender or policy lapse for our traditional life insurance products. The assumptions used require considerable judgment. We review policyholder behavior experience at least annually and update these assumptions when deemed necessary based on additional information that becomes available. Discount rate assumptions are updated at each reporting period and also incorporate changes in risk free rates and option market values. Changes in, or deviations from, the assumptions previously used can significantly affect our reserve levels and related results of operations in a positive or negative direction.</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Mortality refers to the incidence of death on covered lives, which triggers contractual death benefit provisions. On our deferred annuities and life insurance products, these provisions may allow for lump sum payments, payments over a period of time, or spousal continuation of the contract. On our life-contingent immediate annuities (which includes life-contingent PRT annuities), the death of a named annuitant or certificate holder may trigger the cessation or reduction of future life-contingent payments due, depending on the presence of a joint annuitant/certificate holder and any remaining guaranteed non-life contingent payment periods. We utilize a combination of internal and industry experience when setting our mortality assumptions.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 surrender rate is the percentage of account value surrendered by the policyholder in exchange for receipt of a cash surrender value. A lapse rate is the percentage of account value canceled by us due to nonpayment of premiums required to maintain coverage on our life insurance products. We make estimates of expected full and partial surrenders of our deferred annuity products based on a combination of internal and industry experience. Management’s best estimate of surrender behavior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reserve levels and related results of operations.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Discount rates refer to the interest rates used to discount future cash flows to the current period to determine a present value. For liability for FPB reserves, the discount rate used is based on the yield curve for A-rated corporate bonds as of the valuation date. Changes in the discount rates from the at-issue or at-purchase discount rates flow through OCI.</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aggregate reserves for contractholder funds, FPBs and MRBs on a direct and net basis as of December 31, 2025 and 2024, are summarized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Deposit Asset/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Reinsurance Recoverable</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060" w:type="dxa"/>
            <w:vAlign w:val="bottom"/>
            <w:gridSpan w:val="2"/>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34,449</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(3,198)</w:t>
            </w:r>
          </w:p>
        </w:tc>
        <w:tc>
          <w:tcPr>
            <w:tcW w:w="440" w:type="dxa"/>
            <w:vAlign w:val="bottom"/>
            <w:gridSpan w:val="3"/>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31,251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19,267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(12,863)</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SPIA and other</w:t>
            </w: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IUL and other life</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(1,377)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w:t>
            </w: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2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8,125</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8,125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Borders>
              <w:bottom w:val="single" w:sz="8" w:color="CCEEFF"/>
            </w:tcBorders>
            <w:shd w:val="clear" w:color="auto" w:fill="CCEEFF"/>
          </w:tcPr>
          <w:p>
            <w:pPr>
              <w:spacing w:after="0"/>
              <w:rPr>
                <w:sz w:val="15"/>
                <w:szCs w:val="15"/>
                <w:color w:val="auto"/>
              </w:rPr>
            </w:pPr>
          </w:p>
        </w:tc>
        <w:tc>
          <w:tcPr>
            <w:tcW w:w="6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74,384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(17,545)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56,839</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6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tcPr>
          <w:p>
            <w:pPr>
              <w:jc w:val="center"/>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Deposit Asset/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Reinsurance Recoverable</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060" w:type="dxa"/>
            <w:vAlign w:val="bottom"/>
            <w:gridSpan w:val="2"/>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31,002</w:t>
            </w:r>
          </w:p>
        </w:tc>
        <w:tc>
          <w:tcPr>
            <w:tcW w:w="4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30,141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17,443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SPIA and other</w:t>
            </w: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IUL and other life</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w:t>
            </w:r>
          </w:p>
        </w:tc>
        <w:tc>
          <w:tcPr>
            <w:tcW w:w="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5,315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6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60" w:type="dxa"/>
            <w:vAlign w:val="bottom"/>
            <w:tcBorders>
              <w:top w:val="single" w:sz="8" w:color="auto"/>
              <w:bottom w:val="single" w:sz="8" w:color="auto"/>
            </w:tcBorders>
            <w:gridSpan w:val="2"/>
            <w:shd w:val="clear" w:color="auto" w:fill="CCEEFF"/>
          </w:tcPr>
          <w:p>
            <w:pPr>
              <w:jc w:val="right"/>
              <w:ind w:right="94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65,702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52,333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Consolidated Balance Sheets with the ceded portion of the reinsured indexed crediting feature embedded derivatives recorded as a component of the Reinsurance recoverable in the Consolidated Balance Sheets. Changes in fair value are included as a component of Benefits and other changes in policy reserves in the Consolidated Statements of Operations.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life-contingent immediate annuity policies, gross premiums received in excess of net premiums are deferred at initial recognition as a deferred profit liability (“DPL”). Gross premiums are measured using assumptions consistent with those used in the measurement of the related liability for FPBs.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Valuation of Fixed Maturity, Preferred and Equity Securities and Derivatives</w:t>
      </w:r>
    </w:p>
    <w:p>
      <w:pPr>
        <w:spacing w:after="0" w:line="74" w:lineRule="exact"/>
        <w:rPr>
          <w:sz w:val="20"/>
          <w:szCs w:val="20"/>
          <w:color w:val="auto"/>
        </w:rPr>
      </w:pPr>
    </w:p>
    <w:p>
      <w:pPr>
        <w:jc w:val="both"/>
        <w:ind w:firstLine="255"/>
        <w:spacing w:after="0" w:line="249" w:lineRule="auto"/>
        <w:rPr>
          <w:sz w:val="20"/>
          <w:szCs w:val="20"/>
          <w:color w:val="auto"/>
        </w:rPr>
      </w:pPr>
      <w:r>
        <w:rPr>
          <w:rFonts w:ascii="Times New Roman" w:cs="Times New Roman" w:eastAsia="Times New Roman" w:hAnsi="Times New Roman"/>
          <w:sz w:val="14"/>
          <w:szCs w:val="14"/>
          <w:color w:val="auto"/>
        </w:rPr>
        <w:t>Our investments in fixed maturity securities have been designated as available-for-sale (“AFS”) and are carried at fair value, net of allowance for expected credit losses, with unrealized gains and losses included within accumulated other comprehensive earnings (loss) (“AOCI”), net of deferred income taxes. Our equity securities are carried at fair value with unrealized gains and losses included in net earnings. Realized gains and losses on the sale of investments are determined on the basis of specific identification and are credited or charged to income on a trade date basis.</w:t>
      </w:r>
    </w:p>
    <w:p>
      <w:pPr>
        <w:spacing w:after="0" w:line="1" w:lineRule="exact"/>
        <w:rPr>
          <w:sz w:val="20"/>
          <w:szCs w:val="20"/>
          <w:color w:val="auto"/>
        </w:rPr>
      </w:pPr>
    </w:p>
    <w:p>
      <w:pPr>
        <w:jc w:val="both"/>
        <w:ind w:firstLine="255"/>
        <w:spacing w:after="0" w:line="255" w:lineRule="auto"/>
        <w:rPr>
          <w:sz w:val="20"/>
          <w:szCs w:val="20"/>
          <w:color w:val="auto"/>
        </w:rPr>
      </w:pPr>
      <w:r>
        <w:rPr>
          <w:rFonts w:ascii="Times New Roman" w:cs="Times New Roman" w:eastAsia="Times New Roman" w:hAnsi="Times New Roman"/>
          <w:sz w:val="14"/>
          <w:szCs w:val="14"/>
          <w:color w:val="auto"/>
        </w:rPr>
        <w:t>Management’s assessment of all available data when determining fair value of the AFS securities is necessary to appropriately apply fair value accounting. Management utilizes information from independent pricing services, who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6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C </w:t>
      </w:r>
      <w:r>
        <w:rPr>
          <w:rFonts w:ascii="Times New Roman" w:cs="Times New Roman" w:eastAsia="Times New Roman" w:hAnsi="Times New Roman"/>
          <w:sz w:val="14"/>
          <w:szCs w:val="14"/>
          <w:i w:val="1"/>
          <w:iCs w:val="1"/>
          <w:color w:val="auto"/>
        </w:rPr>
        <w:t>Fair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Value of Financial Instruments </w:t>
      </w:r>
      <w:r>
        <w:rPr>
          <w:rFonts w:ascii="Times New Roman" w:cs="Times New Roman" w:eastAsia="Times New Roman" w:hAnsi="Times New Roman"/>
          <w:sz w:val="14"/>
          <w:szCs w:val="14"/>
          <w:color w:val="auto"/>
        </w:rPr>
        <w:t>and Note D</w:t>
      </w:r>
      <w:r>
        <w:rPr>
          <w:rFonts w:ascii="Times New Roman" w:cs="Times New Roman" w:eastAsia="Times New Roman" w:hAnsi="Times New Roman"/>
          <w:sz w:val="14"/>
          <w:szCs w:val="14"/>
          <w:i w:val="1"/>
          <w:iCs w:val="1"/>
          <w:color w:val="auto"/>
        </w:rPr>
        <w:t xml:space="preserve"> Investments </w:t>
      </w:r>
      <w:r>
        <w:rPr>
          <w:rFonts w:ascii="Times New Roman" w:cs="Times New Roman" w:eastAsia="Times New Roman" w:hAnsi="Times New Roman"/>
          <w:sz w:val="14"/>
          <w:szCs w:val="14"/>
          <w:color w:val="auto"/>
        </w:rPr>
        <w:t>to our Consolidated Financial Statements included in Item 8 of Part II of this Annual Report on Form 10-K.</w:t>
      </w:r>
    </w:p>
    <w:p>
      <w:pPr>
        <w:spacing w:after="0" w:line="9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 xml:space="preserve">The fair value of derivative assets and liabilities is based upon valuation pricing models or independent broker quotes and represents what we would expect to receive or pay at the balance sheet date if we canceled or exercised the derivative or entered into offsetting positions. Fair values for instruments utilizing valuation pricing models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(specifically for indexed annuities contracts) at the balance sheet date represents the cumulative unsettled variation margin (open trade equity net of cash settlements). The fair value of an interest rate swap represents the change in projected interest rates between the reporting date and the date the interest rate swap was executed. The fair values of the embedded derivatives in our indexed annuities and IUL contracts are derived using market value of options, use of current and budgeted option cost, swap rates, mortality rates, surrender rates, partial withdrawals and non-performance spread. The discount rate used to determine the fair value of our indexed annuities/IUL embedded derivative liabilities includes an adjustment to reflect the risk that these obligations will not be fulfilled (“non-performance risk”). For the years ended December 31, 2025 and 2024, our non-performance risk adjustment was based on the expected loss due to default in debt obligations for similarly rated financial companies. See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and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our Consolidated Financial Statements included in Item 8 of Part II of this Annual Report on Form 10-K.</w:t>
      </w:r>
    </w:p>
    <w:p>
      <w:pPr>
        <w:spacing w:after="0" w:line="23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 xml:space="preserve">F&amp;G cedes certain business on a coinsurance funds withheld basis. Assets supporting the arrangements are reported within Funds withheld for reinsurance liabilities on our Consolidated Balance Sheets. All assets within the Funds withheld for reinsurance liabilities are recorded in a manner consistent with each respective item of our accounting policies discussed in Note A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and Summary of Significant Accounting Policies </w:t>
      </w:r>
      <w:r>
        <w:rPr>
          <w:rFonts w:ascii="Times New Roman" w:cs="Times New Roman" w:eastAsia="Times New Roman" w:hAnsi="Times New Roman"/>
          <w:sz w:val="14"/>
          <w:szCs w:val="14"/>
          <w:color w:val="auto"/>
        </w:rPr>
        <w:t>to our Consolidated Financial Statements included in Part II - Item 8 of this Annual Report on Form 10-K. Investment results for the assets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support the coinsurance that are segregated within the funds withheld account are passed directly to the reinsurer pursuant to the contractual terms of the reinsurance arrangement, which creates embedded derivatives considered to be total return swaps. These embedded derivatives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Beginning in 2025, these embedded derivatives are reported in Funds withheld for reinsurance liabilities, irrespective if in a net asset position or a net liability position, on the Consolidated Balance Sheets and prior periods have been reclassified from Prepaid expenses and other assets to conform with the current presentation. The related gains or losses are reported in Recognized gains and (losses), net on the Consolidated Statements of Earnings. Refer to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descriptions of the fair value methodologies used for these and other derivative financial instruments and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and Note N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to our Consolidated Financial Statements included in Part II - Item 8 of this Annual Report on Form 10-K for additional information.</w:t>
      </w:r>
    </w:p>
    <w:p>
      <w:pPr>
        <w:spacing w:after="0" w:line="6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categorize our fixed maturity securities, preferred securities, equity securities and derivatives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fixed maturity securities and equity securities by pricing source, hierarchy level and net asset value (“NAV”) as of December 31, 2025 and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5"/>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As of December 31, 2025</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4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0" w:type="dxa"/>
            <w:vAlign w:val="bottom"/>
          </w:tcPr>
          <w:p>
            <w:pPr>
              <w:spacing w:after="0"/>
              <w:rPr>
                <w:sz w:val="9"/>
                <w:szCs w:val="9"/>
                <w:color w:val="auto"/>
              </w:rPr>
            </w:pPr>
          </w:p>
        </w:tc>
        <w:tc>
          <w:tcPr>
            <w:tcW w:w="14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03"/>
              <w:spacing w:after="0" w:line="108"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40"/>
              <w:spacing w:after="0" w:line="115"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23"/>
              <w:spacing w:after="0" w:line="115"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center"/>
              <w:ind w:right="340"/>
              <w:spacing w:after="0" w:line="117"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10"/>
                <w:szCs w:val="10"/>
                <w:color w:val="auto"/>
              </w:rPr>
            </w:pPr>
          </w:p>
        </w:tc>
        <w:tc>
          <w:tcPr>
            <w:tcW w:w="146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jc w:val="center"/>
              <w:ind w:left="403"/>
              <w:spacing w:after="0" w:line="117" w:lineRule="exact"/>
              <w:rPr>
                <w:sz w:val="20"/>
                <w:szCs w:val="20"/>
                <w:color w:val="auto"/>
              </w:rPr>
            </w:pPr>
            <w:r>
              <w:rPr>
                <w:rFonts w:ascii="Times New Roman" w:cs="Times New Roman" w:eastAsia="Times New Roman" w:hAnsi="Times New Roman"/>
                <w:sz w:val="11"/>
                <w:szCs w:val="11"/>
                <w:b w:val="1"/>
                <w:bCs w:val="1"/>
                <w:color w:val="auto"/>
              </w:rPr>
              <w:t>Inputs</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NAV</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0"/>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38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3240" w:type="dxa"/>
            <w:vAlign w:val="bottom"/>
            <w:gridSpan w:val="2"/>
          </w:tcPr>
          <w:p>
            <w:pPr>
              <w:ind w:left="20"/>
              <w:spacing w:after="0" w:line="97" w:lineRule="exact"/>
              <w:rPr>
                <w:sz w:val="20"/>
                <w:szCs w:val="20"/>
                <w:color w:val="auto"/>
              </w:rPr>
            </w:pPr>
            <w:r>
              <w:rPr>
                <w:rFonts w:ascii="Times New Roman" w:cs="Times New Roman" w:eastAsia="Times New Roman" w:hAnsi="Times New Roman"/>
                <w:sz w:val="11"/>
                <w:szCs w:val="11"/>
                <w:b w:val="1"/>
                <w:bCs w:val="1"/>
                <w:color w:val="auto"/>
              </w:rPr>
              <w:t>Fixed maturity securities available-for-sale and equity</w:t>
            </w:r>
          </w:p>
        </w:tc>
        <w:tc>
          <w:tcPr>
            <w:tcW w:w="2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Prices via third-party pricing 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40,408</w:t>
            </w:r>
          </w:p>
        </w:tc>
        <w:tc>
          <w:tcPr>
            <w:tcW w:w="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42,924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Priced via independent broker quotations</w:t>
            </w:r>
          </w:p>
        </w:tc>
        <w:tc>
          <w:tcPr>
            <w:tcW w:w="22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12,522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6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12,522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Priced via other methods</w:t>
            </w:r>
          </w:p>
        </w:tc>
        <w:tc>
          <w:tcPr>
            <w:tcW w:w="22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58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1,752</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40,408</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tcBorders>
              <w:top w:val="single" w:sz="8" w:color="auto"/>
            </w:tcBorders>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13,309</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1"/>
                <w:szCs w:val="11"/>
                <w:color w:val="auto"/>
              </w:rPr>
              <w:t>35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tcBorders>
            <w:gridSpan w:val="2"/>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55,504</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of Total</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45"/>
        </w:trPr>
        <w:tc>
          <w:tcPr>
            <w:tcW w:w="3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As of December 31, 2024</w:t>
            </w: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60"/>
              <w:spacing w:after="0" w:line="106" w:lineRule="exact"/>
              <w:rPr>
                <w:sz w:val="20"/>
                <w:szCs w:val="20"/>
                <w:color w:val="auto"/>
              </w:rPr>
            </w:pPr>
            <w:r>
              <w:rPr>
                <w:rFonts w:ascii="Times New Roman" w:cs="Times New Roman" w:eastAsia="Times New Roman" w:hAnsi="Times New Roman"/>
                <w:sz w:val="11"/>
                <w:szCs w:val="11"/>
                <w:b w:val="1"/>
                <w:bCs w:val="1"/>
                <w:color w:val="auto"/>
              </w:rPr>
              <w:t>Quoted Prices in</w:t>
            </w:r>
          </w:p>
        </w:tc>
        <w:tc>
          <w:tcPr>
            <w:tcW w:w="200" w:type="dxa"/>
            <w:vAlign w:val="bottom"/>
          </w:tcPr>
          <w:p>
            <w:pPr>
              <w:spacing w:after="0"/>
              <w:rPr>
                <w:sz w:val="9"/>
                <w:szCs w:val="9"/>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03"/>
              <w:spacing w:after="0" w:line="106"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60" w:type="dxa"/>
            <w:vAlign w:val="bottom"/>
            <w:gridSpan w:val="4"/>
          </w:tcPr>
          <w:p>
            <w:pPr>
              <w:jc w:val="center"/>
              <w:ind w:right="360"/>
              <w:spacing w:after="0" w:line="117" w:lineRule="exact"/>
              <w:rPr>
                <w:sz w:val="20"/>
                <w:szCs w:val="20"/>
                <w:color w:val="auto"/>
              </w:rPr>
            </w:pPr>
            <w:r>
              <w:rPr>
                <w:rFonts w:ascii="Times New Roman" w:cs="Times New Roman" w:eastAsia="Times New Roman" w:hAnsi="Times New Roman"/>
                <w:sz w:val="11"/>
                <w:szCs w:val="11"/>
                <w:b w:val="1"/>
                <w:bCs w:val="1"/>
                <w:color w:val="auto"/>
              </w:rPr>
              <w:t>Active Markets for</w:t>
            </w:r>
          </w:p>
        </w:tc>
        <w:tc>
          <w:tcPr>
            <w:tcW w:w="2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Pr>
          <w:p>
            <w:pPr>
              <w:jc w:val="center"/>
              <w:ind w:left="383"/>
              <w:spacing w:after="0" w:line="117" w:lineRule="exact"/>
              <w:rPr>
                <w:sz w:val="20"/>
                <w:szCs w:val="20"/>
                <w:color w:val="auto"/>
              </w:rPr>
            </w:pPr>
            <w:r>
              <w:rPr>
                <w:rFonts w:ascii="Times New Roman" w:cs="Times New Roman" w:eastAsia="Times New Roman" w:hAnsi="Times New Roman"/>
                <w:sz w:val="11"/>
                <w:szCs w:val="11"/>
                <w:b w:val="1"/>
                <w:bCs w:val="1"/>
                <w:color w:val="auto"/>
              </w:rPr>
              <w:t>Unobservable</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4"/>
          </w:tcPr>
          <w:p>
            <w:pPr>
              <w:jc w:val="center"/>
              <w:ind w:right="360"/>
              <w:spacing w:after="0" w:line="108" w:lineRule="exact"/>
              <w:rPr>
                <w:sz w:val="20"/>
                <w:szCs w:val="20"/>
                <w:color w:val="auto"/>
              </w:rPr>
            </w:pPr>
            <w:r>
              <w:rPr>
                <w:rFonts w:ascii="Times New Roman" w:cs="Times New Roman" w:eastAsia="Times New Roman" w:hAnsi="Times New Roman"/>
                <w:sz w:val="11"/>
                <w:szCs w:val="11"/>
                <w:b w:val="1"/>
                <w:bCs w:val="1"/>
                <w:color w:val="auto"/>
              </w:rPr>
              <w:t>Identical Assets</w:t>
            </w:r>
          </w:p>
        </w:tc>
        <w:tc>
          <w:tcPr>
            <w:tcW w:w="200" w:type="dxa"/>
            <w:vAlign w:val="bottom"/>
          </w:tcPr>
          <w:p>
            <w:pPr>
              <w:spacing w:after="0"/>
              <w:rPr>
                <w:sz w:val="9"/>
                <w:szCs w:val="9"/>
                <w:color w:val="auto"/>
              </w:rPr>
            </w:pPr>
          </w:p>
        </w:tc>
        <w:tc>
          <w:tcPr>
            <w:tcW w:w="146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jc w:val="center"/>
              <w:ind w:left="403"/>
              <w:spacing w:after="0" w:line="108" w:lineRule="exact"/>
              <w:rPr>
                <w:sz w:val="20"/>
                <w:szCs w:val="20"/>
                <w:color w:val="auto"/>
              </w:rPr>
            </w:pPr>
            <w:r>
              <w:rPr>
                <w:rFonts w:ascii="Times New Roman" w:cs="Times New Roman" w:eastAsia="Times New Roman" w:hAnsi="Times New Roman"/>
                <w:sz w:val="11"/>
                <w:szCs w:val="11"/>
                <w:b w:val="1"/>
                <w:bCs w:val="1"/>
                <w:color w:val="auto"/>
              </w:rPr>
              <w:t>Inputs</w:t>
            </w: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8"/>
        </w:trPr>
        <w:tc>
          <w:tcPr>
            <w:tcW w:w="3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4"/>
          </w:tcPr>
          <w:p>
            <w:pPr>
              <w:ind w:left="3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00" w:type="dxa"/>
            <w:vAlign w:val="bottom"/>
          </w:tcPr>
          <w:p>
            <w:pPr>
              <w:spacing w:after="0"/>
              <w:rPr>
                <w:sz w:val="13"/>
                <w:szCs w:val="13"/>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32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auto"/>
              </w:rPr>
              <w:t>Fixed maturity securities available-for-sale and equity</w:t>
            </w:r>
          </w:p>
        </w:tc>
        <w:tc>
          <w:tcPr>
            <w:tcW w:w="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80" w:type="dxa"/>
            <w:vAlign w:val="bottom"/>
            <w:tcBorders>
              <w:top w:val="single" w:sz="8" w:color="auto"/>
            </w:tcBorders>
            <w:gridSpan w:val="3"/>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Prices via third-party pricing services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36,650</w:t>
            </w:r>
          </w:p>
        </w:tc>
        <w:tc>
          <w:tcPr>
            <w:tcW w:w="2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856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38,989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Priced via independent broker quotations</w:t>
            </w:r>
          </w:p>
        </w:tc>
        <w:tc>
          <w:tcPr>
            <w:tcW w:w="220" w:type="dxa"/>
            <w:vAlign w:val="bottom"/>
          </w:tcPr>
          <w:p>
            <w:pPr>
              <w:spacing w:after="0"/>
              <w:rPr>
                <w:sz w:val="13"/>
                <w:szCs w:val="13"/>
                <w:color w:val="auto"/>
              </w:rPr>
            </w:pPr>
          </w:p>
        </w:tc>
        <w:tc>
          <w:tcPr>
            <w:tcW w:w="156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99"/>
              </w:rPr>
              <w:t>10,256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Priced via other methods</w:t>
            </w:r>
          </w:p>
        </w:tc>
        <w:tc>
          <w:tcPr>
            <w:tcW w:w="220" w:type="dxa"/>
            <w:vAlign w:val="bottom"/>
            <w:shd w:val="clear" w:color="auto" w:fill="CCEEFF"/>
          </w:tcPr>
          <w:p>
            <w:pPr>
              <w:spacing w:after="0"/>
              <w:rPr>
                <w:sz w:val="14"/>
                <w:szCs w:val="14"/>
                <w:color w:val="auto"/>
              </w:rPr>
            </w:pPr>
          </w:p>
        </w:tc>
        <w:tc>
          <w:tcPr>
            <w:tcW w:w="15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1,483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36,650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10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99"/>
              </w:rPr>
              <w:t>11,121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57</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49,311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of Total</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 %</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have made acquisitions that have resulted in a significant amount of goodwill. As of December 31, 2025 and 2024, goodwill was $5,272 million and $5,271 million, respectively. The majority of our goodwill as of December 31, 2025 relates to goodwill recorded in connection with the Chicago Title merger in 2000, our initial acquisition of an ownership interest in ServiceLink in 2014 and our acquisition of F&amp;G in 2020. Refer to Note M </w:t>
      </w:r>
      <w:r>
        <w:rPr>
          <w:rFonts w:ascii="Times New Roman" w:cs="Times New Roman" w:eastAsia="Times New Roman" w:hAnsi="Times New Roman"/>
          <w:sz w:val="14"/>
          <w:szCs w:val="14"/>
          <w:i w:val="1"/>
          <w:iCs w:val="1"/>
          <w:color w:val="auto"/>
        </w:rPr>
        <w:t>Goodwill</w:t>
      </w:r>
      <w:r>
        <w:rPr>
          <w:rFonts w:ascii="Times New Roman" w:cs="Times New Roman" w:eastAsia="Times New Roman" w:hAnsi="Times New Roman"/>
          <w:sz w:val="14"/>
          <w:szCs w:val="14"/>
          <w:color w:val="auto"/>
        </w:rPr>
        <w:t xml:space="preserve"> to our Consolidated Financial Statements included in Item 8 of Part II of this Annual Report for a summary of recent changes in our Goodwill balance.</w:t>
      </w:r>
    </w:p>
    <w:p>
      <w:pPr>
        <w:spacing w:after="0" w:line="5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evaluating the recoverability of goodwill, we perform a qualitative analysis at the reporting unit level to determine whether it is more likely than not that the fair value of our recorded goodwill exceeds its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 We completed annual goodwill impairment analyses in the fourth quarter of each period presented using a September 30 measurement date. For the years ended December 31, 2025, 2024, and 2023, we determined there were no events or circumstances that indicated that the carrying value exceeded the fair value.</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Market Risk Benefits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MRBs are contracts or contract features that both provide protection to the contract holder from other-than-nominal capital market risk (equity, interest and foreign exchange risk) and expose the Company to other-than-nominal capital market risk. MRBs include certain contract features primarily on FIA contracts that provide minimum guarantees to policyholders, such as Guaranteed Minimum Death Benefit (“GMDBs”) and Guaranteed Minimum Withdrawal Benefits (“GMWBs”) and Guaranteed Minimum Accumulation Benefits (“GMAB”) riders. In certain reinsurance transactions, the underlying risks ceded to a reinsurer contain MRBs. MRBs, inclusive of reinsured MRBs, are measured at fair value using a risk neutral valuation method, which is based on current net amounts at risk, market data, internal and industry experience, and other factors.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principal policyholder behavior assumptions used to calculate MRBs are established at issue of the contract and include mortality, contract full and partial surrenders, and utilization of the GMWB rider benefits. The assumptions used reflect a combination of internal experience, industry experience and judgment. We review overall policyholder behavior experience at</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least annually and update these assumptions when deemed necessary based on additional information that becomes available. Changes in, or deviations from, the assumptions previously used can significantly affect our MRBs and related results of operations in a positive or negative direction.</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W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 xml:space="preserve"> to our Consolidated Financial Statements included in Item 8 of Part II of this Annual Report on Form 10-K.</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Mortality refers to the incidence of death amongst policyholders on covered lives, which triggers contractual death benefit provisions. These provisions may allow for lump sum payments, payments over a period of time or spousal continuation of the contract. We utilize a combination of actual internal and industry experience when setting our mortality assumptions.</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 surrender rate is the percentage of account value surrendered by the policyholder in exchange for receipt of a cash surrender value. We make estimates of expected full and partial surrenders of our deferred annuity products based on a combination of internal and industry experience. Management’s best estimate of surrender generally represents a medium-to-long term perspective, as we expect to experience a range of policyholder behavior and market conditions period to period. If actual surrender rates are significantly different from those estimated, such differences could have a significant effect on our MRBs and related results of operations.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been issuing GMWB products since 2008. We make assumptions for policyholder behavior as it relates to GMWB utilization using a higher degree of industry experience and judgment than our other behavioral assumptions because internal experience, which we review annually, is still emerging. If emerging experience deviates from our assumptions on GMWB utilization, it could have a significant effect on MRBs and related results of operations.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Income Taxes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As part of the process of preparing the consolidated financial statements, we are required to determine income taxes in 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realized and, to the extent we believe that realizability is not likely, establish a valuation allowance.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6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2025, market conditions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 When assessing the need for valuation allowance on the unrealized capital loss deferred tax assets, we assert a tax planning strategy to hold the vast majority of underlying securities to recovery or maturity. Our ability to assert such a tax planning strategy is dependent upon factors such as the Company’s asset/liability matching process, overall investment strategy, projected future annuity product sales, and expected liquidity needs. In the event these estimates differ from our prior estimates due to the receipt of new information, we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S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to our Consolidated Financial Statements in Item 8 of Part II of this Annual Report for details.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Consolidated Results of Operations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Net Earnings. </w:t>
      </w:r>
      <w:r>
        <w:rPr>
          <w:rFonts w:ascii="Times New Roman" w:cs="Times New Roman" w:eastAsia="Times New Roman" w:hAnsi="Times New Roman"/>
          <w:sz w:val="14"/>
          <w:szCs w:val="14"/>
          <w:color w:val="auto"/>
        </w:rPr>
        <w:t>The following table presents certain financial data for the years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2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62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70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10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1,982</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2,610</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4,717</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2,607</w:t>
            </w:r>
          </w:p>
        </w:tc>
      </w:tr>
      <w:tr>
        <w:trPr>
          <w:trHeight w:val="153"/>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r>
      <w:tr>
        <w:trPr>
          <w:trHeight w:val="156"/>
        </w:trPr>
        <w:tc>
          <w:tcPr>
            <w:tcW w:w="7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revenues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14,445</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13,681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11,752</w:t>
            </w:r>
          </w:p>
        </w:tc>
      </w:tr>
      <w:tr>
        <w:trPr>
          <w:trHeight w:val="140"/>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9"/>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2,908</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Agent commissions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2,008</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1,521</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3,553</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Market risk benefit losses (gains)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53"/>
        </w:trPr>
        <w:tc>
          <w:tcPr>
            <w:tcW w:w="76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593</w:t>
            </w:r>
          </w:p>
        </w:tc>
      </w:tr>
      <w:tr>
        <w:trPr>
          <w:trHeight w:val="165"/>
        </w:trPr>
        <w:tc>
          <w:tcPr>
            <w:tcW w:w="7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r>
      <w:tr>
        <w:trPr>
          <w:trHeight w:val="153"/>
        </w:trPr>
        <w:tc>
          <w:tcPr>
            <w:tcW w:w="7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w:t>
            </w:r>
          </w:p>
        </w:tc>
      </w:tr>
      <w:tr>
        <w:trPr>
          <w:trHeight w:val="156"/>
        </w:trPr>
        <w:tc>
          <w:tcPr>
            <w:tcW w:w="7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expenses</w:t>
            </w:r>
          </w:p>
        </w:tc>
        <w:tc>
          <w:tcPr>
            <w:tcW w:w="7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11,939</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11,059</w:t>
            </w:r>
          </w:p>
        </w:tc>
      </w:tr>
      <w:tr>
        <w:trPr>
          <w:trHeight w:val="144"/>
        </w:trPr>
        <w:tc>
          <w:tcPr>
            <w:tcW w:w="7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before income taxes and equity in earnings of unconsolidated affiliates</w:t>
            </w:r>
          </w:p>
        </w:tc>
        <w:tc>
          <w:tcPr>
            <w:tcW w:w="7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693</w:t>
            </w:r>
          </w:p>
        </w:tc>
      </w:tr>
      <w:tr>
        <w:trPr>
          <w:trHeight w:val="16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w:t>
            </w:r>
          </w:p>
        </w:tc>
        <w:tc>
          <w:tcPr>
            <w:tcW w:w="7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15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7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8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Total revenues increased by $764 million in 2025 as compared to 2024. The increase was attributable to increases in direct title insurance premiums, agency title insurance premiums, escrow, title-related and other fees, and interest and investment income, partially offset by net recognized losses in 2025 as compared to net recognized gains in 2024. Total revenues increased by $1,929 million in 2024 as compared to 2023, primarily attributable to increases in direct title insurance premiums, agency title insurance premiums, escrow, title-related and other fees, interest and investment income and net recognized gains in 2024 as compared to net recognized losses in 2023.</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K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to our Consolidated Financial Statements included in Item 8 of Part II of this Annual Report for a breakout of our consolidated revenues.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net earnings from continuing operations decreased by $712 million in 2025 as compared to 2024, and increased by $873 million in 2024 as compared to 2023.</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revenue and net earnings from our reportable segments is discussed in further detail at the segment level below.</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Interest and investment income levels are primarily a function of securities markets, interest rates and the amount of cash available for investment. Interest and investment income was $3,237 million, $3,124 million and $2,607 million for the years ended December 31, 2025, 2024 and 2023, respectively.</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Recognized gains and losses, net totaled $(60) million, $83 million and $(164) million for the years ended December 31, 2025, 2024, and 2023, respectively. Recognized gains and losses, net for the year ended December 31, 2025 are primarily attributable to losses on sales of equity securities of $159 million, partially offset by gains on sales of other assets of $63</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million and non-cash valuation losses on equity and preferred security holdings of $9 million. Recognized gains and losses, net for the year ended December 31, 2024 are primarily attributable to gains on sales of equity securities and other assets of $193 million and realized gains on derivatives of $50 million, partially offset by recognized losses on sales of fixed maturity securities of $38 million and non-cash valuation losses on equity and preferred security holdings of $117 million. Recognized gains and losses, net for the year ended December 31, 2023 are primarily attributable to losses on sales of fixed maturity securities of $166 million, losses on sales of equity and preferred securities of $104 million and losses on sales of mortgages and other assets of $75 million, partially offset by non-cash valuation gains on equity and preferred security holdings and other invested assets of $181 million.</w:t>
      </w:r>
    </w:p>
    <w:p>
      <w:pPr>
        <w:spacing w:after="0" w:line="56"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our Consolidated Financial Statements included in Item 8 of Part II of this Annual Report for a breakout of our consolidated interest and investment income and realized gains and losses.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Expenses.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operating expenses consist primarily of Personnel costs; Other operating expenses, which in our Title segment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fees and title-related fees are generally recognized as income at the time the underlying transaction closes or other service is provided. Direct title operations revenue often lags approximately 45-60 days behind expenses,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Agent commissions represent the portion of premiums retained by our third-party agents pursuant to the terms of their respective agency contracts.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Benefit expenses for deferred annuity, indexed annuities and IUL policies include index credits and interest credited to contractholder account balances and benefit claims in excess of contract account balances, net of reinsurance recoveries. Other changes in policy reserves include the change in the fair value of the indexed annuities embedded derivative and the change in the reserve for secondary guarantee benefit payments. Other changes in policy reserves also include the change in reserves for life insurance products.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Provision for title claim losses includes an estimate of anticipated title and title-related claims, and escrow losses.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change in expenses attributable to our reportable segments is discussed in further detail at the segment level below.</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Income tax expense was $753 million, $367 million and $192 million for the years ended December 31, 2025, 2024, and 2023, respectively. Income tax expense as a percentage of earnings before income taxes was 53.9%, 21.1% and 27.7% in the years ended December 31, 2025, 2024, and 2023 respectively. The increase in income tax expense as a percentage of earnings before taxes in 2025 as compared to 2024 is primarily attributable to the recording of the deferred tax liability for the outside basis difference in FNF's investment in F&amp;G, offset by releasing a portion of the valuation allowances in the 2025 period that were recorded in prior periods. The decrease in income tax expense as a percentage of earnings before taxes in 2024 as compared to 2023 is primarily attributable to favorable movement in the valuation allowance in 2024 as compared to 2023.</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2025 and 2024, changes in market conditions, including varying interest rates, resulted in deferred tax assets related to the net unrealized capital losses in the Company’s investment portfolio. U.S. GAAP requires the evaluation of the recoverability of deferred tax assets and the establishment of a valuation allowance, if necessary, to reduce the deferred tax asset to an amount that is more likely than not to be realized.</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When assessing the need for a valuation allowance for the F&amp;G segment on the unrealized capital loss deferred tax assets, F&amp;G asserts a tax planning strategy to hold the vast majority of underlying securities to recovery or maturity. F&amp;G’s ability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assert such a tax planning strategy is dependent upon factors such as F&amp;G’s asset/liability matching process, overall investment strategy, projected future annuity product sales, and expected liquidity needs.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event these estimates differ from our prior estimates due to the receipt of new information, the Company may be required to significantly change the income tax expense recorded in the Consolidated Financial Statements. This includes a further significant decline in value of assets incorporated into our tax planning strategies, which could lead to an increase of our valuation allowance on deferred tax assets having an adverse effect on current and future results.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further information related to income taxes, refer to Note S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 our Consolidated Financial Statements included in Item 8 of Part II of this Annual Report.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of operations of our Title segment for the years indicated: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6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640" w:type="dxa"/>
            <w:vAlign w:val="bottom"/>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5"/>
        </w:trPr>
        <w:tc>
          <w:tcPr>
            <w:tcW w:w="7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Revenues:</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2,574</w:t>
            </w:r>
          </w:p>
        </w:tc>
        <w:tc>
          <w:tcPr>
            <w:tcW w:w="2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2,117</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7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44"/>
        </w:trPr>
        <w:tc>
          <w:tcPr>
            <w:tcW w:w="7640" w:type="dxa"/>
            <w:vAlign w:val="bottom"/>
          </w:tcPr>
          <w:p>
            <w:pPr>
              <w:ind w:left="380"/>
              <w:spacing w:after="0"/>
              <w:rPr>
                <w:sz w:val="20"/>
                <w:szCs w:val="20"/>
                <w:color w:val="auto"/>
              </w:rPr>
            </w:pPr>
            <w:r>
              <w:rPr>
                <w:rFonts w:ascii="Times New Roman" w:cs="Times New Roman" w:eastAsia="Times New Roman" w:hAnsi="Times New Roman"/>
                <w:sz w:val="11"/>
                <w:szCs w:val="11"/>
                <w:color w:val="auto"/>
              </w:rPr>
              <w:t>Total revenues</w:t>
            </w:r>
          </w:p>
        </w:tc>
        <w:tc>
          <w:tcPr>
            <w:tcW w:w="74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8,490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7,702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7,038</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Personnel costs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2,544</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Agent commissions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operating expenses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1,242</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153"/>
        </w:trPr>
        <w:tc>
          <w:tcPr>
            <w:tcW w:w="76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74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6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1"/>
                <w:szCs w:val="11"/>
                <w:color w:val="auto"/>
              </w:rPr>
              <w:t>Total expenses</w:t>
            </w:r>
          </w:p>
        </w:tc>
        <w:tc>
          <w:tcPr>
            <w:tcW w:w="74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7,263</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6,606</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6,155</w:t>
            </w:r>
          </w:p>
        </w:tc>
        <w:tc>
          <w:tcPr>
            <w:tcW w:w="0" w:type="dxa"/>
            <w:vAlign w:val="bottom"/>
          </w:tcPr>
          <w:p>
            <w:pPr>
              <w:spacing w:after="0"/>
              <w:rPr>
                <w:sz w:val="1"/>
                <w:szCs w:val="1"/>
                <w:color w:val="auto"/>
              </w:rPr>
            </w:pPr>
          </w:p>
        </w:tc>
      </w:tr>
      <w:tr>
        <w:trPr>
          <w:trHeight w:val="181"/>
        </w:trPr>
        <w:tc>
          <w:tcPr>
            <w:tcW w:w="7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Earnings from continuing operations, before income taxes and equity in earnings of unconsolidated affiliates</w:t>
            </w:r>
          </w:p>
        </w:tc>
        <w:tc>
          <w:tcPr>
            <w:tcW w:w="7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1,096</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Orders opened by direct title operations (in thousands)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64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1,411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1,310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1,230</w:t>
            </w:r>
          </w:p>
        </w:tc>
        <w:tc>
          <w:tcPr>
            <w:tcW w:w="0" w:type="dxa"/>
            <w:vAlign w:val="bottom"/>
          </w:tcPr>
          <w:p>
            <w:pPr>
              <w:spacing w:after="0"/>
              <w:rPr>
                <w:sz w:val="1"/>
                <w:szCs w:val="1"/>
                <w:color w:val="auto"/>
              </w:rPr>
            </w:pPr>
          </w:p>
        </w:tc>
      </w:tr>
      <w:tr>
        <w:trPr>
          <w:trHeight w:val="165"/>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Orders closed by direct title operations (in thousands)</w:t>
            </w: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837</w:t>
            </w:r>
          </w:p>
        </w:tc>
        <w:tc>
          <w:tcPr>
            <w:tcW w:w="0" w:type="dxa"/>
            <w:vAlign w:val="bottom"/>
          </w:tcPr>
          <w:p>
            <w:pPr>
              <w:spacing w:after="0"/>
              <w:rPr>
                <w:sz w:val="1"/>
                <w:szCs w:val="1"/>
                <w:color w:val="auto"/>
              </w:rPr>
            </w:pPr>
          </w:p>
        </w:tc>
      </w:tr>
      <w:tr>
        <w:trPr>
          <w:trHeight w:val="147"/>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Fee per file by direct title operations (in dollars)</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3,948</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3,742</w:t>
            </w:r>
          </w:p>
        </w:tc>
        <w:tc>
          <w:tcPr>
            <w:tcW w:w="8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3,617</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Total revenues for the Title segment increased by $788 million, or 10%, in the year ended December 31, 2025, as compared to 2024. Total revenues for the Title segment increased by $664 million, or 9%, in the year ended December 31, 2024, as compared to 2023. The increase in the year ended December 31, 2025, as compared to 2024 is primarily attributable to increases in both our direct and agency title insurance premiums, increases in escrow, title-related and other fees, and increases in interest and investment income, partially offset by an in increase in non-cash valuation losses on our equity and preferred investment holdings. The increase in the year ended December 31, 2024, as compared to 2023 is primarily attributable to increases in both our direct and agency title insurance premiums, increases in escrow, title-related and other fees, increases in interest and investment income and a decrease in non-cash valuation losses on our equity and preferred investment holdings.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title insurance premiums generated by our direct and agency operations: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56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ind w:right="72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0"/>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4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64"/>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premiums from direct operations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43.2 %</w:t>
            </w:r>
          </w:p>
        </w:tc>
      </w:tr>
      <w:tr>
        <w:trPr>
          <w:trHeight w:val="153"/>
        </w:trPr>
        <w:tc>
          <w:tcPr>
            <w:tcW w:w="5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premiums from agency operations</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55.8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4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57.3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04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color w:val="auto"/>
              </w:rPr>
              <w:t>56.8</w:t>
            </w:r>
          </w:p>
        </w:tc>
      </w:tr>
      <w:tr>
        <w:trPr>
          <w:trHeight w:val="181"/>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title premiums</w:t>
            </w: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5,153</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Title premiums increased by 13% in the year ended December 31, 2025 as compared to 2024. The increase is primarily attributable to an increase in Title premiums from direct operations of $374 million, or 17%, and an increase in Title premiums from agency operations of $297 million, or 10%. Title premiums increased by 12% in the year ended December 31, 2024, as compared to 2023. The increase is primarily attributable to an increase in Title premiums from direct operations of $218 million, or 11%, and an increase in Title premiums from agency operations of $343 million, or 13%.</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percentages of opened and closed title insurance orders generated by purchase and refinance transactions by our direct operations: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30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260" w:type="dxa"/>
            <w:vAlign w:val="bottom"/>
            <w:tcBorders>
              <w:bottom w:val="single" w:sz="8" w:color="auto"/>
            </w:tcBorders>
          </w:tcPr>
          <w:p>
            <w:pPr>
              <w:spacing w:after="0"/>
              <w:rPr>
                <w:sz w:val="13"/>
                <w:szCs w:val="13"/>
                <w:color w:val="auto"/>
              </w:rPr>
            </w:pPr>
          </w:p>
        </w:tc>
      </w:tr>
      <w:tr>
        <w:trPr>
          <w:trHeight w:val="150"/>
        </w:trPr>
        <w:tc>
          <w:tcPr>
            <w:tcW w:w="7300" w:type="dxa"/>
            <w:vAlign w:val="bottom"/>
          </w:tcPr>
          <w:p>
            <w:pPr>
              <w:spacing w:after="0"/>
              <w:rPr>
                <w:sz w:val="13"/>
                <w:szCs w:val="13"/>
                <w:color w:val="auto"/>
              </w:rPr>
            </w:pP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340" w:type="dxa"/>
            <w:vAlign w:val="bottom"/>
            <w:gridSpan w:val="2"/>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3"/>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Opened title insurance orders from purchase transactions (1)</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71.5 %</w:t>
            </w:r>
          </w:p>
        </w:tc>
        <w:tc>
          <w:tcPr>
            <w:tcW w:w="100" w:type="dxa"/>
            <w:vAlign w:val="bottom"/>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76.1 %</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78.9 %</w:t>
            </w:r>
          </w:p>
        </w:tc>
      </w:tr>
      <w:tr>
        <w:trPr>
          <w:trHeight w:val="16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Opened title insurance orders from refinance transactions (1)</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28.5</w:t>
            </w:r>
          </w:p>
        </w:tc>
        <w:tc>
          <w:tcPr>
            <w:tcW w:w="1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23.9</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21.1</w:t>
            </w:r>
          </w:p>
        </w:tc>
      </w:tr>
      <w:tr>
        <w:trPr>
          <w:trHeight w:val="144"/>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0"/>
        </w:trPr>
        <w:tc>
          <w:tcPr>
            <w:tcW w:w="7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53"/>
        </w:trPr>
        <w:tc>
          <w:tcPr>
            <w:tcW w:w="7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Closed title insurance orders from purchase transactions (1)</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77.5 %</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79.8 %</w:t>
            </w:r>
          </w:p>
        </w:tc>
      </w:tr>
      <w:tr>
        <w:trPr>
          <w:trHeight w:val="165"/>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Closed title insurance orders from refinance transactions (1)</w:t>
            </w:r>
          </w:p>
        </w:tc>
        <w:tc>
          <w:tcPr>
            <w:tcW w:w="1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27.8</w:t>
            </w:r>
          </w:p>
        </w:tc>
        <w:tc>
          <w:tcPr>
            <w:tcW w:w="134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20.2</w:t>
            </w:r>
          </w:p>
        </w:tc>
      </w:tr>
      <w:tr>
        <w:trPr>
          <w:trHeight w:val="144"/>
        </w:trPr>
        <w:tc>
          <w:tcPr>
            <w:tcW w:w="73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7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Percentages exclude consideration of an immaterial number of non-purchase and non-refinance orders.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Title premiums from direct operations increased in the year ended December 31, 2025 as compared to 2024. The increase is attributable to increases in total closed order volume from both purchase and refinance transactions, and an increase in fee per file. Title premiums from direct operations increased in the year ended December 31, 2024 as compared to 2023. The increase is primarily attributable to increases in total closed order volume from purchase and refinance transactions, and an increase in fee per file. The residential refinance market has considerably lower fees per closed order than commercial or residential purchase transactions.</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experienced an increase in closed title insurance order volumes from both purchase and refinance transactions in the year ended December 31, 2025, as compared to 2024. Total closed order volumes were 956,000 in the year ended December 31, 2025, as compared to 879,000 in the year ended December 31, 2024, an overall increase of 9%. Total closed order volumes from refinance transactions, which have a lower fee per file than purchase transactions, were 244,000 in the year ended December 31, 2025, compared to 183,000 in the year ended December 31, 2024, an overall increase of 25%. Total closed order volumes from refinance transactions were 183,000 in the year ended December 31, 2024, compared to 156,000 in the year ended December 31, 2023, an overall increase of 17%.</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Total opened title insurance order volumes increased in the year ended December 31, 2025 as compared to 2024. The increase was attributable to increases in opened title orders from both purchase transactions and refinance transactions. Total opened title insurance order volumes increased in the year ended December 31, 2024 as compared to 2023. The increase was attributable to increases in opened title orders from both purchase transactions and refinance transactions.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average fee per file in our direct operations was $3,948 in the year ended December 31, 2025, compared to $3,742 in the year ended December 31, 2024. The average fee per file in our direct operations was $3,742 in the year ended December 31, 2024, compared to $3,617 in the year ended December 31, 2023. The increase in average fee per file in 2025 and 2024 reflects home price appreciation and a stable commercial market, which more than offset the greater proportion of closed order from refinance transactions in both 2025 and 2024.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Title premiums from agency operations increased $297 million, or 10%, in the year ended December 31, 2025 as compared to 2024, and increased $343 million, or 13%, in the year ended December 31, 2024 as compared to 2023. The current trends in the agency business reflect a challenging residential purchase and refinance environment in many markets throughout the country, consistent with trends in the direct business.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Escrow, title-related and other fees increased by $185 million, or 8%, in the year ended December 31, 2025 as compared to 2024, and increased by $79 million, or 4%, in the year ended December 31, 2024 as compared to 2023. Escrow fees, which are more closely related to our direct operations, increased by $91 million, or 11%, in the year ended December 31, 2025, as compared to 2024, and increased $58 million, or 8%, in the year ended December 31, 2024, as compared to 2023. The increases in 2025 and 2024 were relatively consistent with the increase in direct premiums. Other fees in the Title segment, excluding escrow fees, increased by $94 million, or 7%, in the year ended December 31, 2025, as compared to 2024, and increased $21 million, or 2%, in the year ended December 31, 2024, as compared to 2023. The increases in Other fees in 2025 and 2024 were attributable to various immaterial items. The change in both escrow fees and other fees is directionally consistent with the change in title premiums from direct operations in 2025 and 2024.</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Interest and investment income levels are primarily a function of securities markets, interest rates and the amount of cash available for investment. Interest and investment income increased $4 million, or 1%, in the year ended December 31, 2025 as compared to 2024, and increased $21 million, or 6%, in the year ended December 31, 2024 as compared to 2023. The increases in 2025 and 2024 were attributable to various immaterial items.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Recognized net losses were $78 million, $6 million, and $9 million in the years ended December 31, 2025, 2024, and 2023, respectively. The variability in recognized gains and losses, net is primarily attributable to fluctuations in non-cash valuation changes on our equity and preferred security holdings in addition to various other individually immaterial items.</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Personnel costs include base salaries, commissions, benefits, stock-based compensation and bonuses paid to employees, and are one of our most significant operating expenses. Personnel costs increased $288 million, or 11%, in the year ended December 31, 2025 as compared to 2024, and increased $151 million, or 6% in the year ended December 31, 2024 as compared to 2023. The increase in the year ended December 31, 2025 as compared to 2024 is primarily attributable to increased headcount, elevated health claims and increased variable costs from modest increases in revenue and earnings. The increase in the year ended December 31, 2024 as compared to 2023 is primarily attributable to inflationary salary increases and increased variable costs from modest increases in revenue and earnings. Personnel costs as a percentage of total revenues from direct title premiums and escrow, title-related and other fees were 60%, 61% and 62% for the years ended December 31, 2025, 2024 and 2023, respectively. Average employee count in the Title segment was 22,248, 21,206, and 21,398 in the years ended December 31, 2025, 2024, and 2023, respectively.</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operating expenses increased by $102 million, or 8%, in the year ended December 31, 2025 as compared to 2024, and increased $9 million, or 1%, in the year ended December 31, 2024 as compared to 2023. Other operating expenses as a percentage of total revenue excluding agency premiums, interest and investment income and recognized gains and losses were 27%, 28%, and 30% in the years ended December 31, 2025, 2024, and 2023, respectively.</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illustrates the relationship of agent premiums and agent commissions: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9"/>
        </w:trPr>
        <w:tc>
          <w:tcPr>
            <w:tcW w:w="5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2025</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4"/>
        </w:trPr>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8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50"/>
        </w:trPr>
        <w:tc>
          <w:tcPr>
            <w:tcW w:w="51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r>
      <w:tr>
        <w:trPr>
          <w:trHeight w:val="16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premiums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2,610</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153"/>
        </w:trPr>
        <w:tc>
          <w:tcPr>
            <w:tcW w:w="5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1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77.5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77.4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2,008</w:t>
            </w:r>
          </w:p>
        </w:tc>
        <w:tc>
          <w:tcPr>
            <w:tcW w:w="108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76.9</w:t>
            </w:r>
          </w:p>
        </w:tc>
      </w:tr>
      <w:tr>
        <w:trPr>
          <w:trHeight w:val="181"/>
        </w:trPr>
        <w:tc>
          <w:tcPr>
            <w:tcW w:w="5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retained agent premiums</w:t>
            </w: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claim loss provision for title insurance was $262 million, $232 million, and $207 million for the years ended December 31, 2025, 2024, and 2023 respectively. The provision reflects a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Overview</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Through our majority owned F&amp;G subsidiary, which we acquired on June 1, 2020, we provide our principal annuity and life insurance products through the insurance subsidiaries composing our F&amp;G segment, FGL Insurance and FGL NY Insurance. Our customers range across a variety of age groups and are concentrated in the middle-income market. Our indexed annuities products provide for pre-retirement wealth accumulation and post-retirement income management. Our IUL products provide wealth protection and transfer opportunities. Life and annuity products are primarily distributed through IMOs and independent insurance agents, and beginning in 2020, independent broker dealers and banks. Additionally, we provide funding agreements and PRT solutions to various institutions through consultants and brokers.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setting the features and pricing of our flagship indexed annuity products relative to our targeted net margin, we take into account our expectations regarding (1)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Historical Results of Operations</w:t>
      </w:r>
    </w:p>
    <w:p>
      <w:pPr>
        <w:spacing w:after="0" w:line="9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4"/>
          <w:szCs w:val="14"/>
          <w:color w:val="auto"/>
        </w:rPr>
        <w:t>Through our insurance subsidiaries, we issue a broad portfolio of deferred annuities (indexed annuities and fixed rate annuities), IUL insurance, immediate annuities, funding agreements and PRT solutions. A deferred annuity is a type of contract that accumulates value on a tax deferred basis and typically begins making specified periodic or lump sum payments a certain number of years after the contract has been issued. IUL insurance is a complementary type of contract that accumulates value in a cash value account and provides a payment to designated beneficiaries upon the policyholder’s death. An immediate annuity is a type of contract that begins making specified payments within one annuity period (e.g., one month or one year) and typically makes payments of principal and interest earnings over a period of time. As defined by the Iowa Insurance Division, a funding agreement is an agreement for an insurer to accept and accumulate funds and to make one or more payments at future dates in amounts that are not based on mortality or morbidity contingencies of the person to whom the funding agreement is issued. In essence, funding agreement providers issue fixed maturity contracts with fixed or floating interest rates in exchange for a single upfront premium. Our PRT products are comparable to income annuities, as we generally receive a single, upfront premium in exchange for paying a guaranteed stream of future income payments which are typically fixed in nature but may vary in duration based on participant mortality experience.</w:t>
      </w:r>
    </w:p>
    <w:p>
      <w:pPr>
        <w:spacing w:after="0" w:line="6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Under GAAP, premium collections for deferred annuities (indexed annuities and fixed rate annuities), immediate annuities and PRT without life contingency, and deposits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charges, cost of insurance and other charges deducted from contractholder funds (i.e., amortization of URL),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VOBA, DAC and DSI, and other operating costs and expenses.</w:t>
      </w:r>
    </w:p>
    <w:p>
      <w:pPr>
        <w:spacing w:after="0" w:line="6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F&amp;G hedges certain portions of its exposure to product related equity market risk by entering into derivative transactions. We purchase derivatives consisting predominantly of equity options and, to a lesser degree, futures contracts (specifically for indexed annuity contracts) on the equity indices underlying the applicable policy. These derivatives are used to offset the reserve impact of the index credits due to policyholders under the indexed annuity and IUL contracts. The majority of all such equity options are one-year options purchased to match the funding requirements underlying the indexed annuity/IUL contracts. We attempt to manage the cost of these purchases through the terms of our indexed annuity/IUL contracts, which permit us to change caps, spread, or participation rates on each policy's annual anniversary, subject to certain guaranteed minimums that must be maintained. The equity options and futures contracts are marked to fair value with the change in fair value included as a component of net investment gains (losses). The change in fair value of the equity options and futures contracts includes the gains and losses recognized at the expiration of the instruments’ terms or upon early termination and the changes in fair value of open positions. In addition, to reduce market risks from interest rate changes on our earnings associated with our floating rate investments, during 2023 we began to execute pay-float and receive-fixed interest rate swaps.</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Market risk benefits (“MRBs”) are contracts or contract features that both provide protection to the contract holder from other-than-nominal capital market risk (equity, interest and foreign exchange risk) and expose the Company to other-than-nominal capital market risk. MRBs (inclusive of reinsured MRBs) are measured at fair value using a risk neutral valuation method, which is based on current net amounts at risk, market data, internal and industry experience, and other factors.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change in fair value of MRBs generally reflects impacts from actual policyholder behavior (including surrenders of the benefit), changes in interest rates, and changes in equity market returns. Generally higher interest rates and equity returns result in gains whereas lower interest rates and equity returns result in losses. Reinsured MRBs are valued using a methodology consistent with direct MRBs, with the exception of the non-performance spread which reflects the credit of the reinsurer.</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Earnings from products accounted for as deposit liabilities are primarily generated from the excess of net investment income earned over the sum of interest credited to policyholders and the cost of hedging our risk on indexed annuity/IUL policies, which includes the expenses incurred to fund the index credit with respect to indexed annuities/IULs. Proceeds received upon expiration or early termination of equity options purchased to fund annual index credits are recorded as part of the change in fair value of derivatives and are largely offset by an expense for index credits earned on annuity contractholder fund balances.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F&amp;G Results of Operations</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results of operations of our F&amp;G segment for the years ended December 31, 2025, 2024, and 2023,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80" w:type="dxa"/>
            <w:vAlign w:val="bottom"/>
          </w:tcPr>
          <w:p>
            <w:pPr>
              <w:spacing w:after="0"/>
              <w:rPr>
                <w:sz w:val="13"/>
                <w:szCs w:val="13"/>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Life insurance premiums and other fees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Owned distribution revenues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r>
      <w:tr>
        <w:trPr>
          <w:trHeight w:val="156"/>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revenues</w:t>
            </w:r>
          </w:p>
        </w:tc>
        <w:tc>
          <w:tcPr>
            <w:tcW w:w="8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5,731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5,744</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4,500</w:t>
            </w:r>
          </w:p>
        </w:tc>
      </w:tr>
      <w:tr>
        <w:trPr>
          <w:trHeight w:val="15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Benefits and expenses</w:t>
            </w: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Market risk benefit losses (gains)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w:t>
            </w: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8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8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w:t>
            </w:r>
          </w:p>
        </w:tc>
      </w:tr>
      <w:tr>
        <w:trPr>
          <w:trHeight w:val="15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benefits and expenses</w:t>
            </w:r>
          </w:p>
        </w:tc>
        <w:tc>
          <w:tcPr>
            <w:tcW w:w="8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4,535</w:t>
            </w:r>
          </w:p>
        </w:tc>
      </w:tr>
      <w:tr>
        <w:trPr>
          <w:trHeight w:val="156"/>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tcPr>
          <w:p>
            <w:pPr>
              <w:spacing w:after="0"/>
              <w:rPr>
                <w:sz w:val="13"/>
                <w:szCs w:val="13"/>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Life insurance premiums and other fees</w:t>
      </w:r>
    </w:p>
    <w:p>
      <w:pPr>
        <w:spacing w:after="0" w:line="85"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Life insurance premiums and other fees primarily reflect premiums on life-contingent PRTs and traditional life insurance products, which are recognized as revenue when due from the policyholder, as well as policy rider fees primarily on indexed annuity policies, the cost of insurance on IUL policies and surrender charges assessed against policy withdrawals in excess of the policyholder's allowable penalty-free amounts (up to 10% of the prior year's value, subject to certain limitations). The following table summarizes the Life insurance premiums and other fees, on the Consolidated Statements of Earnings for the years ended December 31, 2025, 2024, and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7200" w:type="dxa"/>
            <w:vAlign w:val="bottom"/>
          </w:tcPr>
          <w:p>
            <w:pPr>
              <w:spacing w:after="0"/>
              <w:rPr>
                <w:sz w:val="13"/>
                <w:szCs w:val="13"/>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Life-contingent pension risk transfer premiums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w:t>
            </w:r>
          </w:p>
        </w:tc>
      </w:tr>
      <w:tr>
        <w:trPr>
          <w:trHeight w:val="153"/>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Traditional life insurance and life-contingent immediate annuity premiums</w:t>
            </w:r>
          </w:p>
        </w:tc>
        <w:tc>
          <w:tcPr>
            <w:tcW w:w="8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6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charges</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r>
      <w:tr>
        <w:trPr>
          <w:trHeight w:val="15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Policyholder fees and other income</w:t>
            </w: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340</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w:t>
            </w:r>
          </w:p>
        </w:tc>
      </w:tr>
      <w:tr>
        <w:trPr>
          <w:trHeight w:val="181"/>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Life insurance premiums and other fees (a)</w:t>
            </w:r>
          </w:p>
        </w:tc>
        <w:tc>
          <w:tcPr>
            <w:tcW w:w="84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160" w:hanging="155"/>
        <w:spacing w:after="0"/>
        <w:tabs>
          <w:tab w:leader="none" w:pos="16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Reported net of ceded premiums of $85 million, $94 million, and $105 million and ceded product fees of $60 million, $47 million, and $49 million for the years ended December 31, 2025, 2024, and 2023, respectively</w:t>
      </w:r>
    </w:p>
    <w:p>
      <w:pPr>
        <w:spacing w:after="0" w:line="258" w:lineRule="exact"/>
        <w:rPr>
          <w:rFonts w:ascii="Times New Roman" w:cs="Times New Roman" w:eastAsia="Times New Roman" w:hAnsi="Times New Roman"/>
          <w:sz w:val="11"/>
          <w:szCs w:val="11"/>
          <w:color w:val="auto"/>
        </w:rPr>
      </w:pPr>
    </w:p>
    <w:p>
      <w:pPr>
        <w:ind w:left="520" w:hanging="260"/>
        <w:spacing w:after="0" w:line="287" w:lineRule="auto"/>
        <w:tabs>
          <w:tab w:leader="none" w:pos="516"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Life-contingent pension risk transfer premiums were modestly lower during the year ended December 31, 2025 compared to the year ended December 31, 2024, and higher for the year ended December 31, 2024 compared to the year ended December 31, 2023, reflecting the timing of PRT transactions. PRT premiums are subject to fluctuation period to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left="520" w:hanging="260"/>
        <w:spacing w:after="0" w:line="26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Surrender charges were modestly lower for the year ended December 31, 2025 compared to the year ended December 31, 2024, and higher for the year ended December 31, 2024 compared to the year ended December 31, 2023. These charges primarily reflect withdrawals from policyholders with surrender charges and market value adjustments (“MVAs”), primarily on our indexed annuities policies, and are subject to changes in the interest rate environment. See “</w:t>
      </w:r>
      <w:r>
        <w:rPr>
          <w:rFonts w:ascii="Times New Roman" w:cs="Times New Roman" w:eastAsia="Times New Roman" w:hAnsi="Times New Roman"/>
          <w:sz w:val="14"/>
          <w:szCs w:val="14"/>
          <w:i w:val="1"/>
          <w:iCs w:val="1"/>
          <w:color w:val="auto"/>
        </w:rPr>
        <w:t>Item 1. Business – The Products We Offer – Withdrawal Option for Deferred Annuities,”</w:t>
      </w:r>
      <w:r>
        <w:rPr>
          <w:rFonts w:ascii="Times New Roman" w:cs="Times New Roman" w:eastAsia="Times New Roman" w:hAnsi="Times New Roman"/>
          <w:sz w:val="14"/>
          <w:szCs w:val="14"/>
          <w:color w:val="auto"/>
        </w:rPr>
        <w:t xml:space="preserve"> in this Annual Report on Form 10-K for additional discussion on surrender charges and MVAs.</w:t>
      </w:r>
    </w:p>
    <w:p>
      <w:pPr>
        <w:spacing w:after="0" w:line="55"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Policyholder fees and other income increased for the years ended December 31, 2025 and 2024, primarily reflecting higher guaranteed minimum withdrawal benefit (“GMWB”) rider fees and increased cost of insurance charges, net of changes in unearned revenue liabilities (“URL”) on IUL policies from growth in business. GMWB rider fees are based on the policyholder's benefit base and are collected at the end of the policy year. The increase for the year ended December 31, 2025 also includes a reinsurance true-up adjustment.</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Interest and investment income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interest and investment income for the years ended December 31, 2025, 2024, and 2023:</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10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2,247</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1,843</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Invested cash and short-term investments</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53"/>
        </w:trPr>
        <w:tc>
          <w:tcPr>
            <w:tcW w:w="71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6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investments</w:t>
            </w:r>
          </w:p>
        </w:tc>
        <w:tc>
          <w:tcPr>
            <w:tcW w:w="9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Gross investment income</w:t>
            </w:r>
          </w:p>
        </w:tc>
        <w:tc>
          <w:tcPr>
            <w:tcW w:w="9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3,103</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3,014</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2,465</w:t>
            </w:r>
          </w:p>
        </w:tc>
      </w:tr>
      <w:tr>
        <w:trPr>
          <w:trHeight w:val="15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expense</w:t>
            </w:r>
          </w:p>
        </w:tc>
        <w:tc>
          <w:tcPr>
            <w:tcW w:w="9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r>
      <w:tr>
        <w:trPr>
          <w:trHeight w:val="150"/>
        </w:trPr>
        <w:tc>
          <w:tcPr>
            <w:tcW w:w="71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Interest and investment income</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2,837</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2,719</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2,211</w:t>
            </w:r>
          </w:p>
        </w:tc>
      </w:tr>
      <w:tr>
        <w:trPr>
          <w:trHeight w:val="20"/>
        </w:trPr>
        <w:tc>
          <w:tcPr>
            <w:tcW w:w="7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$816 million, $636 million and $339 million, for the years ended December 31, 2025, 2024, and 2023,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Recognized gains and losses, net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recognized gains and losses, net for the years ended December 31, 2025, 2024, and 2023:</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7060" w:type="dxa"/>
            <w:vAlign w:val="bottom"/>
          </w:tcPr>
          <w:p>
            <w:pPr>
              <w:spacing w:after="0"/>
              <w:rPr>
                <w:sz w:val="13"/>
                <w:szCs w:val="13"/>
                <w:color w:val="auto"/>
              </w:rPr>
            </w:pPr>
          </w:p>
        </w:tc>
        <w:tc>
          <w:tcPr>
            <w:tcW w:w="9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and unrealized (losses) gains on fixed maturity available-for-sale securities, equity securities and other invested assets</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allowance for expected credit losses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6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and unrealized gains (losses) on certain derivatives instruments</w:t>
            </w:r>
          </w:p>
        </w:tc>
        <w:tc>
          <w:tcPr>
            <w:tcW w:w="9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r>
      <w:tr>
        <w:trPr>
          <w:trHeight w:val="153"/>
        </w:trPr>
        <w:tc>
          <w:tcPr>
            <w:tcW w:w="7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fair value of reinsurance related embedded derivatives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r>
      <w:tr>
        <w:trPr>
          <w:trHeight w:val="15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 in fair value of other derivatives and embedded derivatives</w:t>
            </w:r>
          </w:p>
        </w:tc>
        <w:tc>
          <w:tcPr>
            <w:tcW w:w="9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6"/>
        </w:trPr>
        <w:tc>
          <w:tcPr>
            <w:tcW w:w="70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Recognized gains and losses, net</w:t>
            </w:r>
          </w:p>
        </w:tc>
        <w:tc>
          <w:tcPr>
            <w:tcW w:w="96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r>
      <w:tr>
        <w:trPr>
          <w:trHeight w:val="20"/>
        </w:trPr>
        <w:tc>
          <w:tcPr>
            <w:tcW w:w="7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Recognized gains and losses, net is shown net of amounts attributable to certain funds withheld reinsurance agreements which is passed along to the reinsurer in accordance with the terms of these agreements. Recognized losses attributable to these agreements, and thus excluded from the totals in the table above, was $154 million, $30 million and $123 million for the years ended December 31, 2025, 2024, and 2023, respectively.</w:t>
      </w:r>
    </w:p>
    <w:p>
      <w:pPr>
        <w:spacing w:after="0" w:line="51" w:lineRule="exact"/>
        <w:rPr>
          <w:sz w:val="20"/>
          <w:szCs w:val="20"/>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net realized and unrealized (losses) gains on fixed maturity available-for-sale securities, equity securities and other invested assets is primarily the result of mark-to-market losses on our equity securities and net realized losses on fixed maturity available-for-sale securities.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2024, net realized and unrealized gains (losses) on fixed maturity available-for-sale securities, equity securities and other invested assets is primarily the result of unrealized fair value option (“FVO”)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gains on our unconsolidated owned distribution investments and mark-to-market gains on our preferred and equity securities.</w:t>
      </w:r>
    </w:p>
    <w:p>
      <w:pPr>
        <w:spacing w:after="0" w:line="94" w:lineRule="exact"/>
        <w:rPr>
          <w:sz w:val="20"/>
          <w:szCs w:val="20"/>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2023, net realized and unrealized gains (losses) on fixed maturity available-for-sale securities, equity securities, and other invested assets is primarily the result of realized losses on fixed maturity available-for-sale securities, partially offset by mark-to-market gains on our equity securities and realized gains on other invested assets.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 in allowance for expected credit losses primarily relates to available for sale securities.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periods, net realized and unrealized gains (losses) on certain derivative instruments primarily relate to the net realized and unrealized gains (losses) on equity options and futures used to hedge indexed annuity and IUL products, including gains on option and futures expiration and changes in the fair value of interest rate swaps. See the table below for primary drivers of gains (losses) on certain derivatives.</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 reinsurance-related embedded derivatives in our funds withheld (“FWH”) reinsurance agreements are estimated based upon the change in fair value (for total return swaps), or the fair value (for the index credit obligation due the reinsurer), of the assets supporting the funds withheld from reinsurance liabilities.</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utilize a combination of static (equity options) and dynamic (long futures contracts) instruments in our product hedging strategy. Equity options and futures contracts are generally based upon the performance of various equity indices, such as the S&amp;P 500 Index, as well as other bond and gold market indices.</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utilize interest rate swaps to reduce market risks from interest rate changes on our earnings associated with our floating rate investments and we utilize foreign currency swaps to reduce market risks from fluctuations in foreign exchange rates that impact earnings associated with our foreign currency denominated investments.</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components of the realized and unrealized gains (losses) on certain derivative instruments hedging our indexed annuities, universal life products and floating rate investments are summarized in the table below for the years ended December 31, 2025, 2024, and 2023:</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4"/>
        </w:trPr>
        <w:tc>
          <w:tcPr>
            <w:tcW w:w="6680" w:type="dxa"/>
            <w:vAlign w:val="bottom"/>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options: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Realized (losses) gains</w:t>
            </w:r>
          </w:p>
        </w:tc>
        <w:tc>
          <w:tcPr>
            <w:tcW w:w="960" w:type="dxa"/>
            <w:vAlign w:val="bottom"/>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220</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(216)</w:t>
            </w:r>
          </w:p>
        </w:tc>
      </w:tr>
      <w:tr>
        <w:trPr>
          <w:trHeight w:val="16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unrealized gains (losses)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308</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Futures contracts:</w:t>
            </w: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Gains on futures contracts expiration</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w:t>
            </w:r>
          </w:p>
        </w:tc>
      </w:tr>
      <w:tr>
        <w:trPr>
          <w:trHeight w:val="153"/>
        </w:trPr>
        <w:tc>
          <w:tcPr>
            <w:tcW w:w="66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unrealized gains (losses)</w:t>
            </w:r>
          </w:p>
        </w:tc>
        <w:tc>
          <w:tcPr>
            <w:tcW w:w="960" w:type="dxa"/>
            <w:vAlign w:val="bottom"/>
          </w:tcPr>
          <w:p>
            <w:pPr>
              <w:spacing w:after="0"/>
              <w:rPr>
                <w:sz w:val="13"/>
                <w:szCs w:val="13"/>
                <w:color w:val="auto"/>
              </w:rPr>
            </w:pPr>
          </w:p>
        </w:tc>
        <w:tc>
          <w:tcPr>
            <w:tcW w:w="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currency swaps losses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swaps gains (losses)</w:t>
            </w:r>
          </w:p>
        </w:tc>
        <w:tc>
          <w:tcPr>
            <w:tcW w:w="960" w:type="dxa"/>
            <w:vAlign w:val="bottom"/>
          </w:tcPr>
          <w:p>
            <w:pPr>
              <w:spacing w:after="0"/>
              <w:rPr>
                <w:sz w:val="13"/>
                <w:szCs w:val="13"/>
                <w:color w:val="auto"/>
              </w:rPr>
            </w:pPr>
          </w:p>
        </w:tc>
        <w:tc>
          <w:tcPr>
            <w:tcW w:w="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48</w:t>
            </w:r>
          </w:p>
        </w:tc>
      </w:tr>
      <w:tr>
        <w:trPr>
          <w:trHeight w:val="16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derivative investments: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53"/>
        </w:trPr>
        <w:tc>
          <w:tcPr>
            <w:tcW w:w="6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(Losses) gains on other derivative investments</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(2)</w:t>
            </w:r>
          </w:p>
        </w:tc>
      </w:tr>
      <w:tr>
        <w:trPr>
          <w:trHeight w:val="181"/>
        </w:trPr>
        <w:tc>
          <w:tcPr>
            <w:tcW w:w="6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net change in fair value</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6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5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Annual Point-to-Point Change in S&amp;P 500 Index during the periods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r>
      <w:tr>
        <w:trPr>
          <w:trHeight w:val="147"/>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Secured Overnight Financing Rates</w:t>
            </w:r>
          </w:p>
        </w:tc>
        <w:tc>
          <w:tcPr>
            <w:tcW w:w="9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4.49 %</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5.38 %</w:t>
            </w:r>
          </w:p>
        </w:tc>
      </w:tr>
    </w:tbl>
    <w:p>
      <w:pPr>
        <w:spacing w:after="0" w:line="146" w:lineRule="exact"/>
        <w:rPr>
          <w:sz w:val="20"/>
          <w:szCs w:val="20"/>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gains and (losses) on certain derivative instruments are directly correlated to the performance of the indices upon which the equity options and futures contracts are based and the value of the derivatives at the time of expiration compared to the value at the time of purchase.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changes in unrealized gains (losses) due to the net changes in fair value of equity options and futures contracts are driven by the underlying performance of the indices, such as the S&amp;P 500 Index, upon which the equity options and futures contracts are based during each respective period relative to the respective indices on the policyholder buy dates.</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change in fair value of the foreign currency and interest rate swaps were primarily driven by fluctuations in the foreign currency exchange rate and interest rate indexes underlying the swap contracts.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average index credits to policyholders are as follows:</w:t>
      </w:r>
    </w:p>
    <w:p>
      <w:pPr>
        <w:spacing w:after="0" w:line="110"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340" w:type="dxa"/>
            <w:vAlign w:val="bottom"/>
            <w:tcBorders>
              <w:bottom w:val="single" w:sz="8" w:color="auto"/>
            </w:tcBorders>
          </w:tcPr>
          <w:p>
            <w:pPr>
              <w:spacing w:after="0"/>
              <w:rPr>
                <w:sz w:val="13"/>
                <w:szCs w:val="13"/>
                <w:color w:val="auto"/>
              </w:rPr>
            </w:pPr>
          </w:p>
        </w:tc>
      </w:tr>
      <w:tr>
        <w:trPr>
          <w:trHeight w:val="154"/>
        </w:trPr>
        <w:tc>
          <w:tcPr>
            <w:tcW w:w="67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Crediting Rate</w:t>
            </w:r>
          </w:p>
        </w:tc>
        <w:tc>
          <w:tcPr>
            <w:tcW w:w="10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7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S&amp;P 500 Index:</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5"/>
        </w:trPr>
        <w:tc>
          <w:tcPr>
            <w:tcW w:w="7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Point-to-point strategy</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153"/>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Monthly average strategy</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7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Monthly point-to-point strategy</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47"/>
        </w:trPr>
        <w:tc>
          <w:tcPr>
            <w:tcW w:w="7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3 year high water mark</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13 %</w:t>
            </w:r>
          </w:p>
        </w:tc>
        <w:tc>
          <w:tcPr>
            <w:tcW w:w="10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10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8 %</w:t>
            </w:r>
          </w:p>
        </w:tc>
      </w:tr>
    </w:tbl>
    <w:p>
      <w:pPr>
        <w:spacing w:after="0" w:line="136" w:lineRule="exact"/>
        <w:rPr>
          <w:sz w:val="20"/>
          <w:szCs w:val="20"/>
          <w:color w:val="auto"/>
        </w:rPr>
      </w:pPr>
    </w:p>
    <w:p>
      <w:pPr>
        <w:ind w:left="520" w:hanging="260"/>
        <w:spacing w:after="0" w:line="287" w:lineRule="auto"/>
        <w:tabs>
          <w:tab w:leader="none" w:pos="51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amounts credited to contractholder fund balances may differ from the index appreciation due to contractual features in the indexed annuity contracts and certain IUL contracts (caps, spreads and participation rates), which allow us to manage the cost of the options purchased to fund the annual index credits.</w:t>
      </w:r>
    </w:p>
    <w:p>
      <w:pPr>
        <w:spacing w:after="0" w:line="2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credits for the periods presented were based on comparing the S&amp;P 500 Index on each issue date in the period to the same issue date in the respective prior year periods.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Benefits and expenses</w:t>
      </w:r>
    </w:p>
    <w:p>
      <w:pPr>
        <w:spacing w:after="0" w:line="1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Benefits and other changes in policy reserves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Benefits and other changes in policy reserves: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708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 agreements</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2,016</w:t>
            </w:r>
          </w:p>
        </w:tc>
      </w:tr>
      <w:tr>
        <w:trPr>
          <w:trHeight w:val="153"/>
        </w:trPr>
        <w:tc>
          <w:tcPr>
            <w:tcW w:w="70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Indexed annuities/IUL market related liability movements</w:t>
            </w:r>
          </w:p>
        </w:tc>
        <w:tc>
          <w:tcPr>
            <w:tcW w:w="9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w:t>
            </w:r>
          </w:p>
        </w:tc>
      </w:tr>
      <w:tr>
        <w:trPr>
          <w:trHeight w:val="16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 credits, interest credited and bonuses</w:t>
            </w:r>
          </w:p>
        </w:tc>
        <w:tc>
          <w:tcPr>
            <w:tcW w:w="9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831</w:t>
            </w:r>
          </w:p>
        </w:tc>
      </w:tr>
      <w:tr>
        <w:trPr>
          <w:trHeight w:val="153"/>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changes in policy reserves</w:t>
            </w: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181"/>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Benefits and other changes in policy reserves (a)</w:t>
            </w:r>
          </w:p>
        </w:tc>
        <w:tc>
          <w:tcPr>
            <w:tcW w:w="94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3,963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120" w:hanging="115"/>
        <w:spacing w:after="0"/>
        <w:tabs>
          <w:tab w:leader="none" w:pos="12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Reported net of ceded benefits and other changes in policy reserves of $234 million, $196 million, and $175 million for the years ended December 31, 2025, 2024, and 2023, respectively.</w:t>
      </w:r>
    </w:p>
    <w:p>
      <w:pPr>
        <w:spacing w:after="0" w:line="88" w:lineRule="exact"/>
        <w:rPr>
          <w:rFonts w:ascii="Times New Roman" w:cs="Times New Roman" w:eastAsia="Times New Roman" w:hAnsi="Times New Roman"/>
          <w:sz w:val="11"/>
          <w:szCs w:val="11"/>
          <w:color w:val="auto"/>
        </w:rPr>
      </w:pPr>
    </w:p>
    <w:p>
      <w:pPr>
        <w:jc w:val="both"/>
        <w:ind w:left="520" w:hanging="260"/>
        <w:spacing w:after="0" w:line="270" w:lineRule="auto"/>
        <w:tabs>
          <w:tab w:leader="none" w:pos="516" w:val="left"/>
        </w:tabs>
        <w:numPr>
          <w:ilvl w:val="1"/>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PRT agreements, primarily representing the change in reserves associated with PRT premiums during the periods, were modestly lower during the year ended December 31, 2025 compared to the year ended December 31, 2024, and increased for the year ended December 31, 2024 compared to the year ended December 31, 2023 reflecting the timing of PRT transactions. PRT transactions are subject to fluctuation period to period.</w:t>
      </w:r>
    </w:p>
    <w:p>
      <w:pPr>
        <w:spacing w:after="0" w:line="40" w:lineRule="exact"/>
        <w:rPr>
          <w:rFonts w:ascii="Times New Roman" w:cs="Times New Roman" w:eastAsia="Times New Roman" w:hAnsi="Times New Roman"/>
          <w:sz w:val="14"/>
          <w:szCs w:val="14"/>
          <w:i w:val="1"/>
          <w:iCs w:val="1"/>
          <w:color w:val="auto"/>
        </w:rPr>
      </w:pPr>
    </w:p>
    <w:p>
      <w:pPr>
        <w:jc w:val="both"/>
        <w:ind w:left="520" w:hanging="260"/>
        <w:spacing w:after="0" w:line="261" w:lineRule="auto"/>
        <w:tabs>
          <w:tab w:leader="none" w:pos="516" w:val="left"/>
        </w:tabs>
        <w:numPr>
          <w:ilvl w:val="1"/>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The indexed annuities/IUL market related liability movements for all periods presented are mainly driven by changes in the equity markets, non-performance spreads, and risk-free rates during the respective periods. The change in risk free rates and non-performance spreads increased (decreased) the indexed annuities market related liability by approximately $138 million, $(203) million, and $106 million during the years ended December 31, 2025, 2024, and 2023, respectively. The remaining changes in market value of the market related liability movements for all periods were primarily driven by equity market impacts. See “</w:t>
      </w: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Recognized gains and losses, net”</w:t>
      </w:r>
      <w:r>
        <w:rPr>
          <w:rFonts w:ascii="Times New Roman" w:cs="Times New Roman" w:eastAsia="Times New Roman" w:hAnsi="Times New Roman"/>
          <w:sz w:val="14"/>
          <w:szCs w:val="14"/>
          <w:color w:val="auto"/>
        </w:rPr>
        <w:t xml:space="preserve"> above for summary and discussion of net unrealized gains (losses) on certain derivative instruments.</w:t>
      </w:r>
    </w:p>
    <w:p>
      <w:pPr>
        <w:spacing w:after="0" w:line="47" w:lineRule="exact"/>
        <w:rPr>
          <w:rFonts w:ascii="Times New Roman" w:cs="Times New Roman" w:eastAsia="Times New Roman" w:hAnsi="Times New Roman"/>
          <w:sz w:val="14"/>
          <w:szCs w:val="14"/>
          <w:i w:val="1"/>
          <w:iCs w:val="1"/>
          <w:color w:val="auto"/>
        </w:rPr>
      </w:pPr>
    </w:p>
    <w:p>
      <w:pPr>
        <w:ind w:left="520" w:hanging="260"/>
        <w:spacing w:after="0"/>
        <w:tabs>
          <w:tab w:leader="none" w:pos="52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Annually, typically in the third quarter, we review assumptions associated with reserves for policy benefits and product guarantees.</w:t>
      </w:r>
    </w:p>
    <w:p>
      <w:pPr>
        <w:spacing w:after="0" w:line="72" w:lineRule="exact"/>
        <w:rPr>
          <w:rFonts w:ascii="Times New Roman" w:cs="Times New Roman" w:eastAsia="Times New Roman" w:hAnsi="Times New Roman"/>
          <w:sz w:val="14"/>
          <w:szCs w:val="14"/>
          <w:color w:val="auto"/>
        </w:rPr>
      </w:pPr>
    </w:p>
    <w:p>
      <w:pPr>
        <w:jc w:val="both"/>
        <w:ind w:left="1020" w:hanging="251"/>
        <w:spacing w:after="0" w:line="267" w:lineRule="auto"/>
        <w:tabs>
          <w:tab w:leader="none" w:pos="1016" w:val="left"/>
        </w:tabs>
        <w:numPr>
          <w:ilvl w:val="2"/>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For the year ended December 31, 2025,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total benefits and other changes in policy reserves of approximately $20 million for the year ended December 31, 2025.</w:t>
      </w:r>
    </w:p>
    <w:p>
      <w:pPr>
        <w:spacing w:after="0" w:line="216" w:lineRule="exact"/>
        <w:rPr>
          <w:rFonts w:ascii="Times New Roman" w:cs="Times New Roman" w:eastAsia="Times New Roman" w:hAnsi="Times New Roman"/>
          <w:sz w:val="14"/>
          <w:szCs w:val="14"/>
          <w:i w:val="1"/>
          <w:iCs w:val="1"/>
          <w:color w:val="auto"/>
        </w:rPr>
      </w:pPr>
    </w:p>
    <w:p>
      <w:pPr>
        <w:jc w:val="both"/>
        <w:ind w:left="1020" w:hanging="251"/>
        <w:spacing w:after="0" w:line="270" w:lineRule="auto"/>
        <w:tabs>
          <w:tab w:leader="none" w:pos="1016" w:val="left"/>
        </w:tabs>
        <w:numPr>
          <w:ilvl w:val="2"/>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For the year ended December 31, 2024, based on 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total benefits and other changes in policy reserves of approximately $89 million.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left="1020" w:hanging="251"/>
        <w:spacing w:after="0" w:line="270" w:lineRule="auto"/>
        <w:tabs>
          <w:tab w:leader="none" w:pos="1016" w:val="left"/>
        </w:tabs>
        <w:numPr>
          <w:ilvl w:val="1"/>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For the year ended December 31, 2023, based on increases in interest rates and pricing changes, we updated certain indexed annuities assumptions used to calculate the fair value of the embedded derivative component within Contractholder funds and also aligned reserves to actual policyholder behavior. These changes resulted in a increase in total benefits and other changes in policy reserves of approximately $73 million.</w:t>
      </w:r>
    </w:p>
    <w:p>
      <w:pPr>
        <w:spacing w:after="0" w:line="50" w:lineRule="exact"/>
        <w:rPr>
          <w:rFonts w:ascii="Times New Roman" w:cs="Times New Roman" w:eastAsia="Times New Roman" w:hAnsi="Times New Roman"/>
          <w:sz w:val="14"/>
          <w:szCs w:val="14"/>
          <w:i w:val="1"/>
          <w:iCs w:val="1"/>
          <w:color w:val="auto"/>
        </w:rPr>
      </w:pPr>
    </w:p>
    <w:p>
      <w:pPr>
        <w:ind w:left="520" w:hanging="260"/>
        <w:spacing w:after="0" w:line="287" w:lineRule="auto"/>
        <w:tabs>
          <w:tab w:leader="none" w:pos="516"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Index credits, interest credited and bonuses were higher for the years ended December 31, 2025 and 2024, primarily reflecting higher index credits and interest credited on indexed annuities and other policies as a result of market movement during the respective periods and higher interest credited associated with the growth in PRT agreements.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benefit losses (gains)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market risk benefit losses (gains)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7520" w:type="dxa"/>
            <w:vAlign w:val="bottom"/>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 losses (gains)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w:t>
            </w:r>
          </w:p>
        </w:tc>
        <w:tc>
          <w:tcPr>
            <w:tcW w:w="2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w:t>
            </w:r>
          </w:p>
        </w:tc>
        <w:tc>
          <w:tcPr>
            <w:tcW w:w="3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r>
    </w:tbl>
    <w:p>
      <w:pPr>
        <w:spacing w:after="0" w:line="240" w:lineRule="exact"/>
        <w:rPr>
          <w:sz w:val="20"/>
          <w:szCs w:val="20"/>
          <w:color w:val="auto"/>
        </w:rPr>
      </w:pPr>
    </w:p>
    <w:p>
      <w:pPr>
        <w:jc w:val="both"/>
        <w:ind w:left="520" w:hanging="260"/>
        <w:spacing w:after="0" w:line="270"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risk benefit losses (gains) is primarily driven by issuances, attributed fees collected, effects of market related movements (including changes in equity markets and risk-free rates), actual policyholder behavior as compared with expected, changes in assumptions during the periods. Market risk benefit (gains) losses are reported net of reinsurance, reflecting an amended reinsurance agreement effective July 1, 2024.</w:t>
      </w:r>
    </w:p>
    <w:p>
      <w:pPr>
        <w:spacing w:after="0" w:line="50"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market risk benefit losses (gains) for the year ended December 31, 2025, compared to the year ended December 31, 2024, primarily reflect unfavorable market related movements and unfavorable actual policyholder behavior as compared to expected.</w:t>
      </w:r>
    </w:p>
    <w:p>
      <w:pPr>
        <w:spacing w:after="0" w:line="39" w:lineRule="exact"/>
        <w:rPr>
          <w:sz w:val="20"/>
          <w:szCs w:val="20"/>
          <w:color w:val="auto"/>
        </w:rPr>
      </w:pPr>
    </w:p>
    <w:p>
      <w:pPr>
        <w:ind w:left="520" w:hanging="260"/>
        <w:spacing w:after="0" w:line="287" w:lineRule="auto"/>
        <w:tabs>
          <w:tab w:leader="none" w:pos="528"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Changes in market risk benefit losses (gains) for the year ended December 31, 2024, compared to the year ended December 31, 2023, primarily reflect more favorable market related movements and favorable actual policyholder behavior as compared to expected.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Depreciation and amortization</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the major components included in depreciation and amortization:</w:t>
      </w:r>
    </w:p>
    <w:p>
      <w:pPr>
        <w:spacing w:after="0" w:line="121"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63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6360" w:type="dxa"/>
            <w:vAlign w:val="bottom"/>
          </w:tcPr>
          <w:p>
            <w:pPr>
              <w:spacing w:after="0"/>
              <w:rPr>
                <w:sz w:val="13"/>
                <w:szCs w:val="13"/>
                <w:color w:val="auto"/>
              </w:rPr>
            </w:pPr>
          </w:p>
        </w:tc>
        <w:tc>
          <w:tcPr>
            <w:tcW w:w="9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6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DAC, VOBA and DSI</w:t>
            </w:r>
          </w:p>
        </w:tc>
        <w:tc>
          <w:tcPr>
            <w:tcW w:w="96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w:t>
            </w:r>
          </w:p>
        </w:tc>
      </w:tr>
      <w:tr>
        <w:trPr>
          <w:trHeight w:val="15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Amortization of other intangible assets and fixed asset depreciation</w:t>
            </w: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r>
      <w:tr>
        <w:trPr>
          <w:trHeight w:val="181"/>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Depreciation and amortization</w:t>
            </w: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520" w:hanging="260"/>
        <w:spacing w:after="0" w:line="264" w:lineRule="auto"/>
        <w:tabs>
          <w:tab w:leader="none" w:pos="51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DAC, VOBA and DSI are amortized on a constant level basis for the grouped contracts over the expected term of the related contracts to approximate straight-line amortization. Depreciation and amortization increased for the years ended December 31, 2025 and 2024, primarily reflecting increased DAC and DSI associated with the growth of the business. In addition, as a result of our annual actuarial assumption update process, amortization rates on some DAC and DSI balances increased primarily for indexed annuities. Amortization of VOBA also increased approximately $15 million for the year ended December 31, 2024, reflecting other actuarial model updates and refinements.</w:t>
      </w:r>
    </w:p>
    <w:p>
      <w:pPr>
        <w:spacing w:after="0" w:line="55"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Amortization of other intangible assets and fixed asset depreciation for the year ended December 31, 2025 and 2024 included amortization of other intangible assets from our majority owned interests in Roar and PALH that were acquired in 2024.</w:t>
      </w:r>
    </w:p>
    <w:p>
      <w:pPr>
        <w:sectPr>
          <w:pgSz w:w="11900" w:h="16838" w:orient="portrait"/>
          <w:cols w:equalWidth="0" w:num="1">
            <w:col w:w="11280"/>
          </w:cols>
          <w:pgMar w:left="300" w:top="125" w:right="31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Personnel costs and other operating expenses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Below is a summary of personnel costs and other operating expenses: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Personnel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1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1"/>
          <w:szCs w:val="11"/>
          <w:b w:val="1"/>
          <w:bCs w:val="1"/>
          <w:color w:val="auto"/>
        </w:rPr>
        <w:t>Total personnel costs and other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5"/>
        </w:trPr>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0"/>
        </w:trPr>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r>
      <w:tr>
        <w:trPr>
          <w:trHeight w:val="169"/>
        </w:trPr>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w:t>
            </w:r>
          </w:p>
        </w:tc>
      </w:tr>
      <w:tr>
        <w:trPr>
          <w:trHeight w:val="153"/>
        </w:trPr>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449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499</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00" w:space="720"/>
            <w:col w:w="3760"/>
          </w:cols>
          <w:pgMar w:left="300" w:top="125" w:right="31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left="520" w:hanging="260"/>
        <w:spacing w:after="0" w:line="270"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and other operating expenses decreased during the year ended December 31, 2025 compared to the year ended December 31, 2024 primarily reflecting costs in line with sales volumes and growth in assets, disciplined expense management, including one-time management actions taken in the second quarter of 2025, along with continued investments in our operating platform.</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costs and other operating expenses increased for the year ended December 31, 2024 compared to the year ended December 31, 2023 primarily reflecting costs in line with sales volumes and growth in assets, along with continued investments in our operating platform. The increase for the year ended December 31, 2024 also included $39 million from our majority owned interests in Roar and PALH, $26 million related to the change in fair value of contingent consideration, and $19 million of guaranty fund assessments.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Portfolio</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portfolio is designed to contribute stable earnings, excluding short-term mark-to-market effects, and balance risk across diverse asset classes and is primarily invested in high quality fixed income securities.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investments include assets backing reserves as part of coinsurance with funds withheld agreements. The funds withheld invested assets are reported within their respective line items.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fair value of our investment portfolio was approximately $69 billion and $60 billion, respectively, and was divided among the following asset classes and sectors: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00" w:type="dxa"/>
            <w:vAlign w:val="bottom"/>
            <w:tcBorders>
              <w:bottom w:val="single" w:sz="8" w:color="auto"/>
            </w:tcBorders>
          </w:tcPr>
          <w:p>
            <w:pPr>
              <w:spacing w:after="0"/>
              <w:rPr>
                <w:sz w:val="13"/>
                <w:szCs w:val="13"/>
                <w:color w:val="auto"/>
              </w:rPr>
            </w:pPr>
          </w:p>
        </w:tc>
      </w:tr>
      <w:tr>
        <w:trPr>
          <w:trHeight w:val="154"/>
        </w:trPr>
        <w:tc>
          <w:tcPr>
            <w:tcW w:w="56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Percent</w:t>
            </w:r>
          </w:p>
        </w:tc>
      </w:tr>
      <w:tr>
        <w:trPr>
          <w:trHeight w:val="145"/>
        </w:trPr>
        <w:tc>
          <w:tcPr>
            <w:tcW w:w="5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0"/>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92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5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entities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5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9,309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1,386</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3,681</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2,971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Wholesale/retail trade</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3,732</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3,210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Services, media and other</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5,142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4,547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Hybrid securities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2,649</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2,693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Commercial mortgage-backed securities (a)</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5,131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w:t>
            </w:r>
          </w:p>
        </w:tc>
      </w:tr>
      <w:tr>
        <w:trPr>
          <w:trHeight w:val="153"/>
        </w:trPr>
        <w:tc>
          <w:tcPr>
            <w:tcW w:w="56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Asset-backed securities ("ABS") (a)</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7,842</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9"/>
              </w:rPr>
              <w:t>10,270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17</w:t>
            </w:r>
          </w:p>
        </w:tc>
      </w:tr>
      <w:tr>
        <w:trPr>
          <w:trHeight w:val="165"/>
        </w:trPr>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Collateral loan obligations and loan backed-private obligations ("CLO") (a)</w:t>
            </w: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10,890</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w:t>
            </w:r>
          </w:p>
        </w:tc>
      </w:tr>
      <w:tr>
        <w:trPr>
          <w:trHeight w:val="144"/>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52,700</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9"/>
              </w:rPr>
              <w:t>46,317</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77</w:t>
            </w:r>
          </w:p>
        </w:tc>
      </w:tr>
      <w:tr>
        <w:trPr>
          <w:trHeight w:val="15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 (b)</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Private equity</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r>
      <w:tr>
        <w:trPr>
          <w:trHeight w:val="153"/>
        </w:trPr>
        <w:tc>
          <w:tcPr>
            <w:tcW w:w="5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Real assets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886</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Credit</w:t>
            </w: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1,643</w:t>
            </w:r>
          </w:p>
        </w:tc>
        <w:tc>
          <w:tcPr>
            <w:tcW w:w="8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1,021</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44"/>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Limited partnerships</w:t>
            </w: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4,608</w:t>
            </w:r>
          </w:p>
        </w:tc>
        <w:tc>
          <w:tcPr>
            <w:tcW w:w="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3,288</w:t>
            </w: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r>
      <w:tr>
        <w:trPr>
          <w:trHeight w:val="15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3,025</w:t>
            </w: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5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4,424</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2,916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(primarily derivatives, company owned life insurance and unconsolidated owned distribution investments)</w:t>
            </w: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1,753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r>
      <w:tr>
        <w:trPr>
          <w:trHeight w:val="15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1,043</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2,410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r>
      <w:tr>
        <w:trPr>
          <w:trHeight w:val="181"/>
        </w:trPr>
        <w:tc>
          <w:tcPr>
            <w:tcW w:w="5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92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69,000</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9"/>
              </w:rPr>
              <w:t>59,503</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160" w:hanging="155"/>
        <w:spacing w:after="0"/>
        <w:tabs>
          <w:tab w:leader="none" w:pos="16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Balances at December 31, 2025 reflect classifications consistent with NAIC Principles Based Bond Definition Project effective January 1, 2025.</w:t>
      </w:r>
    </w:p>
    <w:p>
      <w:pPr>
        <w:spacing w:after="0" w:line="138"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investment grade non-redeemable preferred stocks ($197 million and $222 million at December 31, 2025 and 2024, respectively).</w:t>
      </w:r>
    </w:p>
    <w:p>
      <w:pPr>
        <w:spacing w:after="0" w:line="9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 primarily high-grade fixed-income assets across a wide range of sectors, including Corporate securities, U.S. Government and government-sponsored agency securities, and Structured securities, among others.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 nationally recognized statistical rating organization (“NRSRO”), the SVO utilizes that rating and assigns an NAIC designation based upon the NAIC published comparison of NRSRO ratings to NAIC designations.</w:t>
      </w:r>
    </w:p>
    <w:p>
      <w:pPr>
        <w:spacing w:after="0" w:line="1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NAIC determines ratings for non-agency Residential Mortgage-backed Securities (“RMBS”) and commercial mortgage-backed securities (“CMBS”) using modeling that estimates security level expected losses under a variety of economic scenarios. For such assets issued prior to January 1, 2013, an insurer’s amortized cost basis in applicable assets can impact the assigned rating. In the tables below, we present the rating of structured securities based on ratings from the NAIC rating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methodologies described above (which in some cases do not correspond to rating agency designations). All NAIC designations (e.g., NAIC 1-6) are based on the NAIC methodologies.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credit quality by NRSRO rating, or NAIC designation equivalent, of our fixed income portfolio (dollars in millions) at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8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20" w:type="dxa"/>
            <w:vAlign w:val="bottom"/>
          </w:tcPr>
          <w:p>
            <w:pPr>
              <w:ind w:left="840"/>
              <w:spacing w:after="0" w:line="97" w:lineRule="exact"/>
              <w:rPr>
                <w:sz w:val="20"/>
                <w:szCs w:val="20"/>
                <w:color w:val="auto"/>
              </w:rPr>
            </w:pPr>
            <w:r>
              <w:rPr>
                <w:rFonts w:ascii="Times New Roman" w:cs="Times New Roman" w:eastAsia="Times New Roman" w:hAnsi="Times New Roman"/>
                <w:sz w:val="11"/>
                <w:szCs w:val="11"/>
                <w:b w:val="1"/>
                <w:bCs w:val="1"/>
                <w:color w:val="auto"/>
              </w:rPr>
              <w:t>NRSRO</w:t>
            </w:r>
          </w:p>
        </w:tc>
        <w:tc>
          <w:tcPr>
            <w:tcW w:w="1780" w:type="dxa"/>
            <w:vAlign w:val="bottom"/>
            <w:vMerge w:val="restart"/>
          </w:tcPr>
          <w:p>
            <w:pPr>
              <w:jc w:val="center"/>
              <w:ind w:left="183"/>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140" w:type="dxa"/>
            <w:vAlign w:val="bottom"/>
          </w:tcPr>
          <w:p>
            <w:pPr>
              <w:spacing w:after="0"/>
              <w:rPr>
                <w:sz w:val="8"/>
                <w:szCs w:val="8"/>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8"/>
                <w:szCs w:val="8"/>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 Percent</w:t>
            </w:r>
          </w:p>
        </w:tc>
        <w:tc>
          <w:tcPr>
            <w:tcW w:w="140" w:type="dxa"/>
            <w:vAlign w:val="bottom"/>
          </w:tcPr>
          <w:p>
            <w:pPr>
              <w:spacing w:after="0"/>
              <w:rPr>
                <w:sz w:val="8"/>
                <w:szCs w:val="8"/>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Pr>
          <w:p>
            <w:pPr>
              <w:spacing w:after="0"/>
              <w:rPr>
                <w:sz w:val="8"/>
                <w:szCs w:val="8"/>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Fair Value Percent</w:t>
            </w:r>
          </w:p>
        </w:tc>
        <w:tc>
          <w:tcPr>
            <w:tcW w:w="0" w:type="dxa"/>
            <w:vAlign w:val="bottom"/>
          </w:tcPr>
          <w:p>
            <w:pPr>
              <w:spacing w:after="0"/>
              <w:rPr>
                <w:sz w:val="1"/>
                <w:szCs w:val="1"/>
                <w:color w:val="auto"/>
              </w:rPr>
            </w:pPr>
          </w:p>
        </w:tc>
      </w:tr>
      <w:tr>
        <w:trPr>
          <w:trHeight w:val="153"/>
        </w:trPr>
        <w:tc>
          <w:tcPr>
            <w:tcW w:w="1820" w:type="dxa"/>
            <w:vAlign w:val="bottom"/>
          </w:tcPr>
          <w:p>
            <w:pPr>
              <w:ind w:left="880"/>
              <w:spacing w:after="0"/>
              <w:rPr>
                <w:sz w:val="20"/>
                <w:szCs w:val="20"/>
                <w:color w:val="auto"/>
              </w:rPr>
            </w:pPr>
            <w:r>
              <w:rPr>
                <w:rFonts w:ascii="Times New Roman" w:cs="Times New Roman" w:eastAsia="Times New Roman" w:hAnsi="Times New Roman"/>
                <w:sz w:val="11"/>
                <w:szCs w:val="11"/>
                <w:b w:val="1"/>
                <w:bCs w:val="1"/>
                <w:color w:val="auto"/>
              </w:rPr>
              <w:t>Rating</w:t>
            </w:r>
          </w:p>
        </w:tc>
        <w:tc>
          <w:tcPr>
            <w:tcW w:w="17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AAA/AA/A</w:t>
            </w:r>
          </w:p>
        </w:tc>
        <w:tc>
          <w:tcPr>
            <w:tcW w:w="1780" w:type="dxa"/>
            <w:vAlign w:val="bottom"/>
            <w:tcBorders>
              <w:top w:val="single" w:sz="8" w:color="auto"/>
            </w:tcBorders>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34,360</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32,738</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62 %</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31,258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29,174</w:t>
            </w:r>
          </w:p>
        </w:tc>
        <w:tc>
          <w:tcPr>
            <w:tcW w:w="8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63 %</w:t>
            </w:r>
          </w:p>
        </w:tc>
        <w:tc>
          <w:tcPr>
            <w:tcW w:w="0" w:type="dxa"/>
            <w:vAlign w:val="bottom"/>
          </w:tcPr>
          <w:p>
            <w:pPr>
              <w:spacing w:after="0"/>
              <w:rPr>
                <w:sz w:val="1"/>
                <w:szCs w:val="1"/>
                <w:color w:val="auto"/>
              </w:rPr>
            </w:pPr>
          </w:p>
        </w:tc>
      </w:tr>
      <w:tr>
        <w:trPr>
          <w:trHeight w:val="153"/>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BBB</w:t>
            </w:r>
          </w:p>
        </w:tc>
        <w:tc>
          <w:tcPr>
            <w:tcW w:w="178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17,524</w:t>
            </w:r>
          </w:p>
        </w:tc>
        <w:tc>
          <w:tcPr>
            <w:tcW w:w="8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15,082</w:t>
            </w:r>
          </w:p>
        </w:tc>
        <w:tc>
          <w:tcPr>
            <w:tcW w:w="8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33</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BB</w:t>
            </w:r>
          </w:p>
        </w:tc>
        <w:tc>
          <w:tcPr>
            <w:tcW w:w="1780" w:type="dxa"/>
            <w:vAlign w:val="bottom"/>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3</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1,660</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1,538</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w:t>
            </w:r>
          </w:p>
        </w:tc>
        <w:tc>
          <w:tcPr>
            <w:tcW w:w="178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8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8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CCC</w:t>
            </w:r>
          </w:p>
        </w:tc>
        <w:tc>
          <w:tcPr>
            <w:tcW w:w="1780" w:type="dxa"/>
            <w:vAlign w:val="bottom"/>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1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CC and lower</w:t>
            </w:r>
          </w:p>
        </w:tc>
        <w:tc>
          <w:tcPr>
            <w:tcW w:w="1780" w:type="dxa"/>
            <w:vAlign w:val="bottom"/>
          </w:tcPr>
          <w:p>
            <w:pPr>
              <w:jc w:val="center"/>
              <w:ind w:left="183"/>
              <w:spacing w:after="0"/>
              <w:rPr>
                <w:sz w:val="20"/>
                <w:szCs w:val="20"/>
                <w:color w:val="auto"/>
              </w:rPr>
            </w:pPr>
            <w:r>
              <w:rPr>
                <w:rFonts w:ascii="Times New Roman" w:cs="Times New Roman" w:eastAsia="Times New Roman" w:hAnsi="Times New Roman"/>
                <w:sz w:val="11"/>
                <w:szCs w:val="11"/>
                <w:color w:val="auto"/>
              </w:rPr>
              <w:t>6</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Pr>
          <w:p>
            <w:pPr>
              <w:spacing w:after="0"/>
              <w:rPr>
                <w:sz w:val="13"/>
                <w:szCs w:val="13"/>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80" w:type="dxa"/>
            <w:vAlign w:val="bottom"/>
          </w:tcPr>
          <w:p>
            <w:pPr>
              <w:spacing w:after="0"/>
              <w:rPr>
                <w:sz w:val="13"/>
                <w:szCs w:val="13"/>
                <w:color w:val="auto"/>
              </w:rPr>
            </w:pPr>
          </w:p>
        </w:tc>
        <w:tc>
          <w:tcPr>
            <w:tcW w:w="12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182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55,292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49,729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46,317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Investment Concentrations</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tables below present the top ten structured security and industry categories of our fixed maturity and equity securities including the fair value and percent of total fixed maturity and equity securities fair value as of December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54"/>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Top 10 Concentrations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(In millions)</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c>
          <w:tcPr>
            <w:tcW w:w="0" w:type="dxa"/>
            <w:vAlign w:val="bottom"/>
          </w:tcPr>
          <w:p>
            <w:pPr>
              <w:spacing w:after="0"/>
              <w:rPr>
                <w:sz w:val="1"/>
                <w:szCs w:val="1"/>
                <w:color w:val="auto"/>
              </w:rPr>
            </w:pPr>
          </w:p>
        </w:tc>
      </w:tr>
      <w:tr>
        <w:trPr>
          <w:trHeight w:val="155"/>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CLO (a)</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10,890</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ABS (a)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7,842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Diversified financial services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Whole loan collateralized mortgage obligation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Banking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Insurance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822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Electric</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Municipal</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8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color w:val="auto"/>
              </w:rPr>
              <w:t>Pipelines</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945</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81"/>
        </w:trPr>
        <w:tc>
          <w:tcPr>
            <w:tcW w:w="82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38,539</w:t>
            </w: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1"/>
                <w:szCs w:val="11"/>
                <w:color w:val="auto"/>
              </w:rPr>
              <w:t>(a) Balances at December 31, 2025, reflect classifications consistent with the NAIC Principles Bond Definition Project effective January 1, 2025.</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2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4"/>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Top 10 Concentrations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Fair Value (In millions)</w:t>
            </w:r>
          </w:p>
        </w:tc>
        <w:tc>
          <w:tcPr>
            <w:tcW w:w="1520" w:type="dxa"/>
            <w:vAlign w:val="bottom"/>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Percent of Total Fair Value</w:t>
            </w:r>
          </w:p>
        </w:tc>
        <w:tc>
          <w:tcPr>
            <w:tcW w:w="0" w:type="dxa"/>
            <w:vAlign w:val="bottom"/>
          </w:tcPr>
          <w:p>
            <w:pPr>
              <w:spacing w:after="0"/>
              <w:rPr>
                <w:sz w:val="1"/>
                <w:szCs w:val="1"/>
                <w:color w:val="auto"/>
              </w:rPr>
            </w:pPr>
          </w:p>
        </w:tc>
      </w:tr>
      <w:tr>
        <w:trPr>
          <w:trHeight w:val="155"/>
        </w:trPr>
        <w:tc>
          <w:tcPr>
            <w:tcW w:w="8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ABS</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10,270</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CLO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Diversified financial services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Whole loan collateralized mortgage obligation</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Banking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Insurance</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Municipal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Electric</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8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1"/>
                <w:szCs w:val="11"/>
                <w:color w:val="auto"/>
              </w:rPr>
              <w:t>Pharmaceuticals</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738</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8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34,765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AFS securities by contractual maturities as of December 31, 2025 are shown below. Actual maturities may differ from contractual maturities because issuers may have the right to call or prepay obligations.</w:t>
      </w:r>
    </w:p>
    <w:p>
      <w:pPr>
        <w:spacing w:after="0" w:line="56"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1"/>
          <w:szCs w:val="11"/>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26035</wp:posOffset>
            </wp:positionV>
            <wp:extent cx="175831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58315" cy="6985"/>
                    </a:xfrm>
                    <a:prstGeom prst="rect">
                      <a:avLst/>
                    </a:prstGeom>
                    <a:noFill/>
                  </pic:spPr>
                </pic:pic>
              </a:graphicData>
            </a:graphic>
          </wp:anchor>
        </w:drawing>
      </w:r>
    </w:p>
    <w:p>
      <w:pPr>
        <w:spacing w:after="0" w:line="23" w:lineRule="exact"/>
        <w:rPr>
          <w:sz w:val="20"/>
          <w:szCs w:val="20"/>
          <w:color w:val="auto"/>
        </w:rPr>
      </w:pPr>
    </w:p>
    <w:p>
      <w:pPr>
        <w:ind w:left="8800"/>
        <w:spacing w:after="0"/>
        <w:tabs>
          <w:tab w:leader="none" w:pos="10340" w:val="left"/>
        </w:tabs>
        <w:rPr>
          <w:sz w:val="20"/>
          <w:szCs w:val="20"/>
          <w:color w:val="auto"/>
        </w:rPr>
      </w:pPr>
      <w:r>
        <w:rPr>
          <w:rFonts w:ascii="Times New Roman" w:cs="Times New Roman" w:eastAsia="Times New Roman" w:hAnsi="Times New Roman"/>
          <w:sz w:val="11"/>
          <w:szCs w:val="11"/>
          <w:b w:val="1"/>
          <w:bCs w:val="1"/>
          <w:color w:val="auto"/>
        </w:rPr>
        <w:t>Amortized Cost</w:t>
      </w:r>
      <w:r>
        <w:rPr>
          <w:sz w:val="20"/>
          <w:szCs w:val="20"/>
          <w:color w:val="auto"/>
        </w:rPr>
        <w:tab/>
      </w:r>
      <w:r>
        <w:rPr>
          <w:rFonts w:ascii="Times New Roman" w:cs="Times New Roman" w:eastAsia="Times New Roman" w:hAnsi="Times New Roman"/>
          <w:sz w:val="10"/>
          <w:szCs w:val="10"/>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5406390</wp:posOffset>
            </wp:positionH>
            <wp:positionV relativeFrom="paragraph">
              <wp:posOffset>26035</wp:posOffset>
            </wp:positionV>
            <wp:extent cx="175831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58315" cy="6985"/>
                    </a:xfrm>
                    <a:prstGeom prst="rect">
                      <a:avLst/>
                    </a:prstGeom>
                    <a:noFill/>
                  </pic:spPr>
                </pic:pic>
              </a:graphicData>
            </a:graphic>
          </wp:anchor>
        </w:drawing>
      </w:r>
    </w:p>
    <w:p>
      <w:pPr>
        <w:spacing w:after="0" w:line="23"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 Non-structured Hybrids, Municipal, Foreign and U.S. Government securities:</w:t>
            </w: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in one year or less</w:t>
            </w: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Due after one year through five years</w:t>
            </w: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4,552</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4,586</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Due after five years through ten years</w:t>
            </w:r>
          </w:p>
        </w:tc>
        <w:tc>
          <w:tcPr>
            <w:tcW w:w="5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5,398</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5,394</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Due after ten years</w:t>
            </w:r>
          </w:p>
        </w:tc>
        <w:tc>
          <w:tcPr>
            <w:tcW w:w="5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18,026</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15,658</w:t>
            </w:r>
          </w:p>
        </w:tc>
      </w:tr>
      <w:tr>
        <w:trPr>
          <w:trHeight w:val="144"/>
        </w:trPr>
        <w:tc>
          <w:tcPr>
            <w:tcW w:w="85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Subtotal</w:t>
            </w:r>
          </w:p>
        </w:tc>
        <w:tc>
          <w:tcPr>
            <w:tcW w:w="52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28,307</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25,968</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securities, which provide for periodic payments</w:t>
            </w: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18,847</w:t>
            </w:r>
          </w:p>
        </w:tc>
        <w:tc>
          <w:tcPr>
            <w:tcW w:w="8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18,732</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5,298</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5,155</w:t>
            </w:r>
          </w:p>
        </w:tc>
      </w:tr>
      <w:tr>
        <w:trPr>
          <w:trHeight w:val="153"/>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2,840</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2,845</w:t>
            </w:r>
          </w:p>
        </w:tc>
      </w:tr>
      <w:tr>
        <w:trPr>
          <w:trHeight w:val="150"/>
        </w:trPr>
        <w:tc>
          <w:tcPr>
            <w:tcW w:w="8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Subtotal</w:t>
            </w: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26,985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26,732</w:t>
            </w:r>
          </w:p>
        </w:tc>
      </w:tr>
      <w:tr>
        <w:trPr>
          <w:trHeight w:val="156"/>
        </w:trPr>
        <w:tc>
          <w:tcPr>
            <w:tcW w:w="85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 fixed maturity available-for-sale securities</w:t>
            </w:r>
          </w:p>
        </w:tc>
        <w:tc>
          <w:tcPr>
            <w:tcW w:w="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55,292</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52,700</w:t>
            </w:r>
          </w:p>
        </w:tc>
      </w:tr>
      <w:tr>
        <w:trPr>
          <w:trHeight w:val="20"/>
        </w:trPr>
        <w:tc>
          <w:tcPr>
            <w:tcW w:w="8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Non-Agency RMBS Exposure</w:t>
      </w:r>
    </w:p>
    <w:p>
      <w:pPr>
        <w:spacing w:after="0" w:line="8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5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fair value of our investments in subprime securities and Alt-A RMBS securities were $4 million and $48 million as of December 31, 2025, respectively, and $29 million and $44 million as of December 31, 2024, respectively. As of December 31, 2025 and 2024, approximately 92% and 93%, respectively, of the subprime and Alt-A RMBS exposures were rated NAIC 2 or higher.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ABS and CLO Exposures</w:t>
      </w:r>
    </w:p>
    <w:p>
      <w:pPr>
        <w:spacing w:after="0" w:line="7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ABS exposures are largely diversified by underlying collateral and issuer type. Our CLO exposures are generally senior tranches of CLOs which have leveraged loans as their underlying collateral.</w:t>
      </w:r>
    </w:p>
    <w:p>
      <w:pPr>
        <w:spacing w:after="0" w:line="6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the CLO and ABS positions were trading at a net unrealized gain of $42 million and a net unrealized loss of $133 million, respectively. As of December 31, 2024, the CLO and ABS positions were trading at a net unrealized gain of $92 million and a net unrealized loss of $207 million, respectively.</w:t>
      </w:r>
    </w:p>
    <w:p>
      <w:pPr>
        <w:spacing w:after="0" w:line="50"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credit quality by NRSRO rating, or NAIC designation equivalent, of our AFS ABS portfolio at December 31, 2025, and 2024. Balances at December 31, 2025 reflect classifications consistent with the NAIC Principles Based Bond Definition Project effective January 1, 2025.</w:t>
      </w:r>
    </w:p>
    <w:p>
      <w:pPr>
        <w:spacing w:after="0" w:line="77"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00" w:type="dxa"/>
            <w:vAlign w:val="bottom"/>
            <w:tcBorders>
              <w:bottom w:val="single" w:sz="8" w:color="auto"/>
            </w:tcBorders>
          </w:tcPr>
          <w:p>
            <w:pPr>
              <w:spacing w:after="0"/>
              <w:rPr>
                <w:sz w:val="13"/>
                <w:szCs w:val="13"/>
                <w:color w:val="auto"/>
              </w:rPr>
            </w:pPr>
          </w:p>
        </w:tc>
      </w:tr>
      <w:tr>
        <w:trPr>
          <w:trHeight w:val="154"/>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45"/>
        </w:trPr>
        <w:tc>
          <w:tcPr>
            <w:tcW w:w="2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00" w:type="dxa"/>
            <w:vAlign w:val="bottom"/>
          </w:tcPr>
          <w:p>
            <w:pPr>
              <w:spacing w:after="0"/>
              <w:rPr>
                <w:sz w:val="12"/>
                <w:szCs w:val="12"/>
                <w:color w:val="auto"/>
              </w:rPr>
            </w:pPr>
          </w:p>
        </w:tc>
      </w:tr>
      <w:tr>
        <w:trPr>
          <w:trHeight w:val="160"/>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3200" w:type="dxa"/>
            <w:vAlign w:val="bottom"/>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9"/>
        </w:trPr>
        <w:tc>
          <w:tcPr>
            <w:tcW w:w="2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AAA/AA/A</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1</w:t>
            </w:r>
          </w:p>
        </w:tc>
        <w:tc>
          <w:tcPr>
            <w:tcW w:w="88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5,457</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70%</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78%</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BBB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2</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2,018</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16</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BB</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3</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4</w:t>
            </w:r>
          </w:p>
        </w:tc>
        <w:tc>
          <w:tcPr>
            <w:tcW w:w="8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CCC</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5</w:t>
            </w: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CC and lower</w:t>
            </w:r>
          </w:p>
        </w:tc>
        <w:tc>
          <w:tcPr>
            <w:tcW w:w="3200" w:type="dxa"/>
            <w:vAlign w:val="bottom"/>
            <w:tcBorders>
              <w:bottom w:val="single" w:sz="8" w:color="CCEEFF"/>
            </w:tcBorders>
          </w:tcPr>
          <w:p>
            <w:pPr>
              <w:jc w:val="center"/>
              <w:ind w:left="1123"/>
              <w:spacing w:after="0"/>
              <w:rPr>
                <w:sz w:val="20"/>
                <w:szCs w:val="20"/>
                <w:color w:val="auto"/>
              </w:rPr>
            </w:pPr>
            <w:r>
              <w:rPr>
                <w:rFonts w:ascii="Times New Roman" w:cs="Times New Roman" w:eastAsia="Times New Roman" w:hAnsi="Times New Roman"/>
                <w:sz w:val="11"/>
                <w:szCs w:val="11"/>
                <w:color w:val="auto"/>
              </w:rPr>
              <w:t>6</w:t>
            </w: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7,842</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10,270</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credit quality by NRSRO rating, or NAIC designation equivalent, of our AFS CLO portfolio at December 31, 2025, and 2024. Balances at December 31, 2025 reflect classifications consistent with the NAIC Principles Based Bond Definition Project effective January 1, 2025.</w:t>
      </w:r>
    </w:p>
    <w:p>
      <w:pPr>
        <w:spacing w:after="0" w:line="88"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w w:val="98"/>
              </w:rPr>
              <w:t>December 31, 2024</w:t>
            </w:r>
          </w:p>
        </w:tc>
        <w:tc>
          <w:tcPr>
            <w:tcW w:w="820" w:type="dxa"/>
            <w:vAlign w:val="bottom"/>
            <w:tcBorders>
              <w:bottom w:val="single" w:sz="8" w:color="auto"/>
            </w:tcBorders>
          </w:tcPr>
          <w:p>
            <w:pPr>
              <w:spacing w:after="0"/>
              <w:rPr>
                <w:sz w:val="13"/>
                <w:szCs w:val="13"/>
                <w:color w:val="auto"/>
              </w:rPr>
            </w:pPr>
          </w:p>
        </w:tc>
      </w:tr>
      <w:tr>
        <w:trPr>
          <w:trHeight w:val="154"/>
        </w:trPr>
        <w:tc>
          <w:tcPr>
            <w:tcW w:w="25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9"/>
              </w:rPr>
              <w:t>Percent</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99"/>
              </w:rPr>
              <w:t>Percent</w:t>
            </w:r>
          </w:p>
        </w:tc>
      </w:tr>
      <w:tr>
        <w:trPr>
          <w:trHeight w:val="145"/>
        </w:trPr>
        <w:tc>
          <w:tcPr>
            <w:tcW w:w="2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6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820" w:type="dxa"/>
            <w:vAlign w:val="bottom"/>
          </w:tcPr>
          <w:p>
            <w:pPr>
              <w:spacing w:after="0"/>
              <w:rPr>
                <w:sz w:val="12"/>
                <w:szCs w:val="12"/>
                <w:color w:val="auto"/>
              </w:rPr>
            </w:pPr>
          </w:p>
        </w:tc>
      </w:tr>
      <w:tr>
        <w:trPr>
          <w:trHeight w:val="160"/>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3200" w:type="dxa"/>
            <w:vAlign w:val="bottom"/>
          </w:tcPr>
          <w:p>
            <w:pPr>
              <w:jc w:val="center"/>
              <w:ind w:left="1143"/>
              <w:spacing w:after="0"/>
              <w:rPr>
                <w:sz w:val="20"/>
                <w:szCs w:val="20"/>
                <w:color w:val="auto"/>
              </w:rPr>
            </w:pPr>
            <w:r>
              <w:rPr>
                <w:rFonts w:ascii="Times New Roman" w:cs="Times New Roman" w:eastAsia="Times New Roman" w:hAnsi="Times New Roman"/>
                <w:sz w:val="11"/>
                <w:szCs w:val="11"/>
                <w:b w:val="1"/>
                <w:bCs w:val="1"/>
                <w:color w:val="auto"/>
              </w:rPr>
              <w:t>NAIC Designation</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9"/>
        </w:trPr>
        <w:tc>
          <w:tcPr>
            <w:tcW w:w="2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AAA/AA/A</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7,366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67%</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63%</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BBB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26</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BB</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B</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2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CCC</w:t>
            </w:r>
          </w:p>
        </w:tc>
        <w:tc>
          <w:tcPr>
            <w:tcW w:w="3200" w:type="dxa"/>
            <w:vAlign w:val="bottom"/>
            <w:shd w:val="clear" w:color="auto" w:fill="CCEEFF"/>
          </w:tcPr>
          <w:p>
            <w:pPr>
              <w:jc w:val="center"/>
              <w:ind w:left="1123"/>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CEEFF"/>
          </w:tcPr>
          <w:p>
            <w:pPr>
              <w:spacing w:after="0"/>
              <w:rPr>
                <w:sz w:val="14"/>
                <w:szCs w:val="14"/>
                <w:color w:val="auto"/>
              </w:rPr>
            </w:pPr>
          </w:p>
        </w:tc>
        <w:tc>
          <w:tcPr>
            <w:tcW w:w="148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CC and lower</w:t>
            </w:r>
          </w:p>
        </w:tc>
        <w:tc>
          <w:tcPr>
            <w:tcW w:w="3200" w:type="dxa"/>
            <w:vAlign w:val="bottom"/>
          </w:tcPr>
          <w:p>
            <w:pPr>
              <w:jc w:val="center"/>
              <w:ind w:left="1123"/>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32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Municipal Bond Exposure</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municipal bond exposure as of December 31, 2025 and 2024.</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472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0" w:type="dxa"/>
            <w:vAlign w:val="bottom"/>
            <w:tcBorders>
              <w:bottom w:val="single" w:sz="8" w:color="auto"/>
            </w:tcBorders>
          </w:tcPr>
          <w:p>
            <w:pPr>
              <w:spacing w:after="0"/>
              <w:rPr>
                <w:sz w:val="13"/>
                <w:szCs w:val="13"/>
                <w:color w:val="auto"/>
              </w:rPr>
            </w:pPr>
          </w:p>
        </w:tc>
      </w:tr>
      <w:tr>
        <w:trPr>
          <w:trHeight w:val="154"/>
        </w:trPr>
        <w:tc>
          <w:tcPr>
            <w:tcW w:w="4720" w:type="dxa"/>
            <w:vAlign w:val="bottom"/>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50"/>
        </w:trPr>
        <w:tc>
          <w:tcPr>
            <w:tcW w:w="4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General obligation bonds</w:t>
            </w:r>
          </w:p>
        </w:tc>
        <w:tc>
          <w:tcPr>
            <w:tcW w:w="1140" w:type="dxa"/>
            <w:vAlign w:val="bottom"/>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r>
      <w:tr>
        <w:trPr>
          <w:trHeight w:val="153"/>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Special revenue bonds</w:t>
            </w:r>
          </w:p>
        </w:tc>
        <w:tc>
          <w:tcPr>
            <w:tcW w:w="11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1,325</w:t>
            </w: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1,128</w:t>
            </w:r>
          </w:p>
        </w:tc>
      </w:tr>
      <w:tr>
        <w:trPr>
          <w:trHeight w:val="15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Certificate participations</w:t>
            </w:r>
          </w:p>
        </w:tc>
        <w:tc>
          <w:tcPr>
            <w:tcW w:w="11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r>
      <w:tr>
        <w:trPr>
          <w:trHeight w:val="156"/>
        </w:trPr>
        <w:tc>
          <w:tcPr>
            <w:tcW w:w="4720" w:type="dxa"/>
            <w:vAlign w:val="bottom"/>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40" w:type="dxa"/>
            <w:vAlign w:val="bottom"/>
            <w:tcBorders>
              <w:bottom w:val="single" w:sz="8" w:color="auto"/>
            </w:tcBorders>
          </w:tcPr>
          <w:p>
            <w:pPr>
              <w:jc w:val="right"/>
              <w:ind w:right="100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1,562</w:t>
            </w: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1,355</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1,592</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1,346</w:t>
            </w:r>
          </w:p>
        </w:tc>
      </w:tr>
      <w:tr>
        <w:trPr>
          <w:trHeight w:val="20"/>
        </w:trPr>
        <w:tc>
          <w:tcPr>
            <w:tcW w:w="4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Across all municipal bonds, the largest issuer represented 4% and 5% respectively, of the category and less than 1% of the total portfolio for both December 31, 2025 and 2024, and is rated NAIC 1 as of December 31, 2025. Our focus within municipal bonds is on NAIC 1 rated instruments, with 98% and 97% of our municipal bond exposure rated NAIC 1 as of December 31, 2025 and 2024, respectively.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Mortgage Loans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Commercial Mortgage Loans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diversify our commercial mortgage loans (“CMLs”) portfolio by geographic region and property type to attempt to reduce concentration risk. We continuously evaluate CMLs based on relevant current information to ensure properties are performing at a level to secure the related debt. Loan-to-value (“LTV”) and debt-service coverage (“DSC”) ratios are utilized to assess the risk and quality of CMLs. As of December 31, 2025 and 2024, our mortgage loans on real estate portfolio had a weighted average DSC ratio of 2.3 times and a weighted average LTV ratio of 57% for both periods.</w:t>
      </w:r>
    </w:p>
    <w:p>
      <w:pPr>
        <w:spacing w:after="0" w:line="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 xml:space="preserve">We consider a CML delinquent when a loan payment is greater than 30 days past due. For mortgage loans that are determined to require foreclosure, the carrying value is reduced to the fair value of the underlying collateral, net of estimated costs to obtain and sell at the point of foreclosure. As of December 31, 2025 and 2024, we had one CML that was delinquent in principal or interest payments. We had no CMLs in the process of foreclosure as of December 31, 2025 and 2024. See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report for additional information on our CMLs, including our distribution by property type, geographic region, LTV and DSC ratios.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Residential Mortgage Loans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residential mortgage loans ("RMLs") are primarily closed end, amortizing loans and 100% of the properties are in the United States. We diversify our RML portfolio by state to attempt to reduce concentration risk. RMLs have a primary credit quality indicator of either a performing or non-performing loan. We define non-performing RMLs as those that are 90 or more days past due and/or in non-accrual status.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Loans are placed on non-accrual status when they are over 90 days delinquent. If a loan becomes over 90 days delinquent, it is our general policy to initiate foreclosure proceedings unless a workout arrangement to bring the loan current can be put in place. See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for additional information on our RMLs.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Unrealized Losses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amortized cost and fair value of the fixed maturity securities and the equity securities that were in an unrealized loss position as of December 31, 2025, and 2024, were as follows: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54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Expected Credit</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8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agencies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Foreign Governments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Wholesale/retail trade</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Services, media and other</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4,265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7,231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4,055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27,733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28,037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5400" w:type="dxa"/>
            <w:vAlign w:val="bottom"/>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54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20" w:type="dxa"/>
            <w:vAlign w:val="bottom"/>
          </w:tcPr>
          <w:p>
            <w:pPr>
              <w:spacing w:after="0"/>
              <w:rPr>
                <w:sz w:val="10"/>
                <w:szCs w:val="10"/>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10"/>
                <w:szCs w:val="10"/>
                <w:color w:val="auto"/>
              </w:rPr>
            </w:pPr>
          </w:p>
        </w:tc>
        <w:tc>
          <w:tcPr>
            <w:tcW w:w="11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Expected Credit</w:t>
            </w:r>
          </w:p>
        </w:tc>
        <w:tc>
          <w:tcPr>
            <w:tcW w:w="100" w:type="dxa"/>
            <w:vAlign w:val="bottom"/>
          </w:tcPr>
          <w:p>
            <w:pPr>
              <w:spacing w:after="0"/>
              <w:rPr>
                <w:sz w:val="10"/>
                <w:szCs w:val="1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Unrealized Losses</w:t>
            </w:r>
          </w:p>
        </w:tc>
        <w:tc>
          <w:tcPr>
            <w:tcW w:w="180" w:type="dxa"/>
            <w:vAlign w:val="bottom"/>
          </w:tcPr>
          <w:p>
            <w:pPr>
              <w:spacing w:after="0"/>
              <w:rPr>
                <w:sz w:val="10"/>
                <w:szCs w:val="10"/>
                <w:color w:val="auto"/>
              </w:rPr>
            </w:pPr>
          </w:p>
        </w:tc>
        <w:tc>
          <w:tcPr>
            <w:tcW w:w="6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 for sale:</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Government full faith and credit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United States Government sponsored agencies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United States municipalities, states and territories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Foreign Governments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 securities:</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Finance, insurance and real estate</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6,596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Manufacturing, construction and mining</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Utilities, energy and related sectors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Wholesale/retail trade</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Services, media and other</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4,679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Non-agency residential mortgage-backed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2,552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4,148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6"/>
        </w:trPr>
        <w:tc>
          <w:tcPr>
            <w:tcW w:w="5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fixed maturity available for sale securities</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29,042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investments</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29,405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gross unrealized loss position on the fixed maturity available-for-sale fixed and equity portfolio was $3,180 million and $3,837 million as of December 31, 2025 and 2024, respectively. During 2025, most components of the portfolio exhibited price appreciation caused by lower treasury rates. The total amortized cost of all securities in an unrealized loss position was $28,037 million and $29,405 million as of December 31, 2025 and 2024, respectively. The average market value/book value of the investment category with the largest unrealized loss position was 81% for services, media and other as of December 31, 2025 and 2024, respectively. In the aggregate, services, media and other represented 26% and 23% of the total unrealized loss position as of December 31, 2025 and 2024, respectively.</w:t>
      </w:r>
    </w:p>
    <w:p>
      <w:pPr>
        <w:spacing w:after="0" w:line="6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available for sale securities under watch list analysis and the number of months in a loss position with investment grade securities (NRSRO rating of BBB/Baa or higher) as of December 31, 2025 and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w:t>
            </w:r>
          </w:p>
        </w:tc>
        <w:tc>
          <w:tcPr>
            <w:tcW w:w="120" w:type="dxa"/>
            <w:vAlign w:val="bottom"/>
          </w:tcPr>
          <w:p>
            <w:pPr>
              <w:spacing w:after="0"/>
              <w:rPr>
                <w:sz w:val="9"/>
                <w:szCs w:val="9"/>
                <w:color w:val="auto"/>
              </w:rPr>
            </w:pPr>
          </w:p>
        </w:tc>
        <w:tc>
          <w:tcPr>
            <w:tcW w:w="1060" w:type="dxa"/>
            <w:vAlign w:val="bottom"/>
          </w:tcPr>
          <w:p>
            <w:pPr>
              <w:jc w:val="center"/>
              <w:ind w:right="63"/>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vMerge w:val="continue"/>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3"/>
                <w:szCs w:val="13"/>
                <w:color w:val="auto"/>
              </w:rPr>
            </w:pPr>
          </w:p>
        </w:tc>
        <w:tc>
          <w:tcPr>
            <w:tcW w:w="82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1,159</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0" w:type="dxa"/>
            <w:vAlign w:val="bottom"/>
          </w:tcPr>
          <w:p>
            <w:pPr>
              <w:spacing w:after="0"/>
              <w:rPr>
                <w:sz w:val="1"/>
                <w:szCs w:val="1"/>
                <w:color w:val="auto"/>
              </w:rPr>
            </w:pPr>
          </w:p>
        </w:tc>
      </w:tr>
      <w:tr>
        <w:trPr>
          <w:trHeight w:val="145"/>
        </w:trPr>
        <w:tc>
          <w:tcPr>
            <w:tcW w:w="44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Below 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left="42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0" w:type="dxa"/>
            <w:vAlign w:val="bottom"/>
          </w:tcPr>
          <w:p>
            <w:pPr>
              <w:spacing w:after="0"/>
              <w:rPr>
                <w:sz w:val="1"/>
                <w:szCs w:val="1"/>
                <w:color w:val="auto"/>
              </w:rPr>
            </w:pPr>
          </w:p>
        </w:tc>
      </w:tr>
      <w:tr>
        <w:trPr>
          <w:trHeight w:val="18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893</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center"/>
              <w:ind w:left="42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46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46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Allowance for Credit Loss</w:t>
            </w:r>
          </w:p>
        </w:tc>
        <w:tc>
          <w:tcPr>
            <w:tcW w:w="120" w:type="dxa"/>
            <w:vAlign w:val="bottom"/>
          </w:tcPr>
          <w:p>
            <w:pPr>
              <w:spacing w:after="0"/>
              <w:rPr>
                <w:sz w:val="9"/>
                <w:szCs w:val="9"/>
                <w:color w:val="auto"/>
              </w:rPr>
            </w:pPr>
          </w:p>
        </w:tc>
        <w:tc>
          <w:tcPr>
            <w:tcW w:w="1060" w:type="dxa"/>
            <w:vAlign w:val="bottom"/>
          </w:tcPr>
          <w:p>
            <w:pPr>
              <w:jc w:val="center"/>
              <w:ind w:right="63"/>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40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vMerge w:val="continue"/>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3"/>
                <w:szCs w:val="13"/>
                <w:color w:val="auto"/>
              </w:rPr>
            </w:pPr>
          </w:p>
        </w:tc>
        <w:tc>
          <w:tcPr>
            <w:tcW w:w="82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1,497</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1,011</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(486)</w:t>
            </w:r>
          </w:p>
        </w:tc>
        <w:tc>
          <w:tcPr>
            <w:tcW w:w="0" w:type="dxa"/>
            <w:vAlign w:val="bottom"/>
          </w:tcPr>
          <w:p>
            <w:pPr>
              <w:spacing w:after="0"/>
              <w:rPr>
                <w:sz w:val="1"/>
                <w:szCs w:val="1"/>
                <w:color w:val="auto"/>
              </w:rPr>
            </w:pPr>
          </w:p>
        </w:tc>
      </w:tr>
      <w:tr>
        <w:trPr>
          <w:trHeight w:val="156"/>
        </w:trPr>
        <w:tc>
          <w:tcPr>
            <w:tcW w:w="44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Below investment grade:</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six months</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Six months or more and less than twelve months</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3"/>
                <w:szCs w:val="13"/>
                <w:color w:val="auto"/>
              </w:rPr>
            </w:pPr>
          </w:p>
        </w:tc>
        <w:tc>
          <w:tcPr>
            <w:tcW w:w="820" w:type="dxa"/>
            <w:vAlign w:val="bottom"/>
            <w:gridSpan w:val="2"/>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Twelve months or greater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left="36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44"/>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below investment grade</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left="4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81"/>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center"/>
              <w:ind w:left="46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Expected Credit Losses and Watch List</w:t>
      </w:r>
    </w:p>
    <w:p>
      <w:pPr>
        <w:spacing w:after="0" w:line="5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watch list excludes structured securities as we have separate processes to evaluate the credit quality on the structured securities.</w:t>
      </w:r>
    </w:p>
    <w:p>
      <w:pPr>
        <w:spacing w:after="0" w:line="9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There were 71 and 45 structured securities with a fair value of $237 million and $146 million, respectively, to which we had potential credit exposure as of December 31, 2025 and 2024, respectively. Our analysis of these structured securities, which included cash flow testing, resulted in allowances for expected credit losses of $86 million and $62 million as of December 31, 2025 and 2024, respectively.</w:t>
      </w:r>
    </w:p>
    <w:p>
      <w:pPr>
        <w:spacing w:after="0" w:line="49" w:lineRule="exact"/>
        <w:rPr>
          <w:sz w:val="20"/>
          <w:szCs w:val="20"/>
          <w:color w:val="auto"/>
        </w:rPr>
      </w:pPr>
    </w:p>
    <w:p>
      <w:pPr>
        <w:ind w:right="660" w:firstLine="318"/>
        <w:spacing w:after="0" w:line="412" w:lineRule="auto"/>
        <w:rPr>
          <w:sz w:val="20"/>
          <w:szCs w:val="20"/>
          <w:color w:val="auto"/>
        </w:rPr>
      </w:pPr>
      <w:r>
        <w:rPr>
          <w:rFonts w:ascii="Times New Roman" w:cs="Times New Roman" w:eastAsia="Times New Roman" w:hAnsi="Times New Roman"/>
          <w:sz w:val="14"/>
          <w:szCs w:val="14"/>
          <w:color w:val="auto"/>
        </w:rPr>
        <w:t xml:space="preserve">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on Form 10-K for further information on the allowance for expected credit loss. </w:t>
      </w:r>
      <w:r>
        <w:rPr>
          <w:rFonts w:ascii="Times New Roman" w:cs="Times New Roman" w:eastAsia="Times New Roman" w:hAnsi="Times New Roman"/>
          <w:sz w:val="14"/>
          <w:szCs w:val="14"/>
          <w:b w:val="1"/>
          <w:bCs w:val="1"/>
          <w:i w:val="1"/>
          <w:iCs w:val="1"/>
          <w:color w:val="auto"/>
        </w:rPr>
        <w:t>Exposure to Sovereign Debt and Certain Other Exposures</w:t>
      </w:r>
    </w:p>
    <w:p>
      <w:pPr>
        <w:spacing w:after="0" w:line="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 portfolio had an immaterial amount of direct exposure to European sovereign debt as of December 31, 2025, and 2024, respectively. We have no exposure to investments in Russia or Ukraine and de minimis investments in peripheral countries in the region.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discussion regarding our interest and investment income and investment gains (losses), net,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on Form 10-K.</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AFS Securities</w:t>
      </w:r>
    </w:p>
    <w:p>
      <w:pPr>
        <w:spacing w:after="0" w:line="96"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For additional information regarding our AFS securities, including the amortized cost, gross unrealized gains (losses), and fair value as well as the amortized cost and fair value of fixed maturity AFS securities by contractual maturities, as of December 31, 2025 and 2024,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Instruments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certain information regarding our concentrations of financial instruments,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to the Consolidated Financial Statements included in this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are exposed to credit loss in the event of non-performance by our counterparties on derivative instruments. We attempt to reduce this credit risk by purchasing such derivative instruments from large, well-established financial institutions.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also hold cash and cash equivalents received from counterparties for derivative instrument collateral, as well as U.S. Government securities pledged as derivative instrument collateral, if our counterparty’s net exposures exceed pre-determined thresholds.</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pay counterparties the effective federal funds rate each day for cash collateral posted to F&amp;G for daily mark to market margin changes. We reduce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Consolidated Balance Sheets.</w:t>
      </w:r>
    </w:p>
    <w:p>
      <w:pPr>
        <w:spacing w:after="0" w:line="4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the Consolidated Financial Statements included in Part II - Item 8 of this Annual Report on Form 10-K for additional information regarding our derivatives and our exposure to credit loss on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 and Other</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results of operations of our Corporate and Other segment for the years indicated: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7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7400" w:type="dxa"/>
            <w:vAlign w:val="bottom"/>
          </w:tcPr>
          <w:p>
            <w:pPr>
              <w:spacing w:after="0"/>
              <w:rPr>
                <w:sz w:val="13"/>
                <w:szCs w:val="13"/>
                <w:color w:val="auto"/>
              </w:rPr>
            </w:pPr>
          </w:p>
        </w:tc>
        <w:tc>
          <w:tcPr>
            <w:tcW w:w="8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5"/>
        </w:trPr>
        <w:tc>
          <w:tcPr>
            <w:tcW w:w="7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0"/>
        </w:trPr>
        <w:tc>
          <w:tcPr>
            <w:tcW w:w="7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9"/>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w:t>
            </w: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8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r>
      <w:tr>
        <w:trPr>
          <w:trHeight w:val="144"/>
        </w:trPr>
        <w:tc>
          <w:tcPr>
            <w:tcW w:w="740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revenues</w:t>
            </w:r>
          </w:p>
        </w:tc>
        <w:tc>
          <w:tcPr>
            <w:tcW w:w="8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w:t>
            </w:r>
          </w:p>
        </w:tc>
      </w:tr>
      <w:tr>
        <w:trPr>
          <w:trHeight w:val="16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Expenses:</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Personnel costs</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8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r>
      <w:tr>
        <w:trPr>
          <w:trHeight w:val="153"/>
        </w:trPr>
        <w:tc>
          <w:tcPr>
            <w:tcW w:w="74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r>
      <w:tr>
        <w:trPr>
          <w:trHeight w:val="165"/>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8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r>
      <w:tr>
        <w:trPr>
          <w:trHeight w:val="144"/>
        </w:trPr>
        <w:tc>
          <w:tcPr>
            <w:tcW w:w="74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expenses</w:t>
            </w:r>
          </w:p>
        </w:tc>
        <w:tc>
          <w:tcPr>
            <w:tcW w:w="8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367</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369</w:t>
            </w:r>
          </w:p>
        </w:tc>
      </w:tr>
      <w:tr>
        <w:trPr>
          <w:trHeight w:val="18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from continuing operations, before income taxes and equity in earnings of unconsolidated affiliates</w:t>
            </w:r>
          </w:p>
        </w:tc>
        <w:tc>
          <w:tcPr>
            <w:tcW w:w="82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revenue in the Corporate and Other segment for all years represents revenue generated by our non-title real estate technology and brokerage subsidiaries as well as mark-to-market valuation changes on certain corporate deferred compensation plans.</w:t>
      </w:r>
    </w:p>
    <w:p>
      <w:pPr>
        <w:spacing w:after="0" w:line="39"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Total revenues in the Corporate and Other segment decreased $2 million, or 1% in the year ended December 31, 2025, as compared to 2024, and increased $64 million, or 23%, in the year ended December 31, 2024, as compared to 2023. The decrease in the year ended December 31, 2025, as compared to 2024 is attributable to various immaterial items. The increase in the year ended December 31, 2024, as compared to 2023 is primarily attributable to a $43 million increase in dividends received from F&amp;G and a $33 million impairment of cost method investments in 2023, partially offset by a $12 million decrease in interest and investment income related to short-term investments and various other immaterial items. The dividends received from F&amp;G are eliminated upon consolidation.</w:t>
      </w:r>
    </w:p>
    <w:p>
      <w:pPr>
        <w:spacing w:after="0" w:line="22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Personnel costs in the Corporate and Other segment increased $4 million, or 3%, in the year ended December 31, 2025, as compared to 2024, and increased $25 million, or 19%, in the year ended December 31, 2024, as compared to 2023. The increase in the year ended December 31, 2025, as compared to 2024 is attributable to various immaterial items. The increase in the year ended December 31, 2024, as compared to 2023 is primarily attributable to inflationary pressures on salaries expense and a $13 million increase is stock compensation expense associated with a restricted stock grant to our chairman.</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Other operating expenses in the Corporate and Other segment increased $2 million, or 2%, in the year ended December 31, 2025, as compared to 2024, and decreased $29 million, or 22%, in the year ended December 31, 2024, as compared to 2023. The increase in the year ended December 31, 2025 as compared to 2024 is attributable to various immaterial items. The decrease in the year ended December 31, 2024 as compared to 2023 is primarily attributable to a $10 million reduction in expenses related to the 2023 cybersecurity incident, a $9 million reduction in expenses related to the termination of our pension plan and other various immaterial items.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Cash Requirements. </w:t>
      </w:r>
      <w:r>
        <w:rPr>
          <w:rFonts w:ascii="Times New Roman" w:cs="Times New Roman" w:eastAsia="Times New Roman" w:hAnsi="Times New Roman"/>
          <w:sz w:val="14"/>
          <w:szCs w:val="14"/>
          <w:color w:val="auto"/>
        </w:rPr>
        <w:t>Our current cash requirements include personnel costs, operating expenses, claim payments, taxes, payments of interest and principal on our debt, capital expenditures,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business acquisitions, stock repurchases and dividends on our common stock. We paid dividends of $2.02 per share in 2025, or approximately $546 million to our common shareholders. On February 19, 2026, our Board of Directors declared cash dividends of $0.52 per share, payable on March 31, 2026, to FNF common shareholders of record as of March 17, 2026.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we had cash and cash equivalents of $2,636 million, short term investments of $1,920 million and available capacity under our Revolving Credit Facility of $800 million and available capacity under the Amended F&amp;G Credit Agreement of $750 million.</w:t>
      </w:r>
    </w:p>
    <w:p>
      <w:pPr>
        <w:spacing w:after="0" w:line="39"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On January 13, 2025, F&amp;G completed its public offering of its 7.30% Junior Subordinated Notes due 2065 with an aggregate principal amount of $375 million (the "7.30% F&amp;G Notes"). F&amp;G used a portion of the net proceeds of this offering to redeem the outstanding $300 million aggregate principal amount of its 5.50% F&amp;G Senior Notes. Refer to Note A </w:t>
      </w:r>
      <w:r>
        <w:rPr>
          <w:rFonts w:ascii="Times New Roman" w:cs="Times New Roman" w:eastAsia="Times New Roman" w:hAnsi="Times New Roman"/>
          <w:sz w:val="14"/>
          <w:szCs w:val="14"/>
          <w:i w:val="1"/>
          <w:iCs w:val="1"/>
          <w:color w:val="auto"/>
        </w:rPr>
        <w:t>Business and Summary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Significant Account Policies </w:t>
      </w:r>
      <w:r>
        <w:rPr>
          <w:rFonts w:ascii="Times New Roman" w:cs="Times New Roman" w:eastAsia="Times New Roman" w:hAnsi="Times New Roman"/>
          <w:sz w:val="14"/>
          <w:szCs w:val="14"/>
          <w:color w:val="auto"/>
        </w:rPr>
        <w:t>and Note F</w:t>
      </w:r>
      <w:r>
        <w:rPr>
          <w:rFonts w:ascii="Times New Roman" w:cs="Times New Roman" w:eastAsia="Times New Roman" w:hAnsi="Times New Roman"/>
          <w:sz w:val="14"/>
          <w:szCs w:val="14"/>
          <w:i w:val="1"/>
          <w:iCs w:val="1"/>
          <w:color w:val="auto"/>
        </w:rPr>
        <w:t xml:space="preserve"> Notes Payable </w:t>
      </w:r>
      <w:r>
        <w:rPr>
          <w:rFonts w:ascii="Times New Roman" w:cs="Times New Roman" w:eastAsia="Times New Roman" w:hAnsi="Times New Roman"/>
          <w:sz w:val="14"/>
          <w:szCs w:val="14"/>
          <w:color w:val="auto"/>
        </w:rPr>
        <w:t>to the Consolidated Financial Statements included in Item 8 of Part II of this Annual Report for additional details on the 7.30% F&amp;G Notes.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24, 2025, F&amp;G completed a public offering of 8,000,000 shares of F&amp;G common stock, par value $0.001 per share. In connection with the offering, F&amp;G entered into an underwriting agreement, pursuant to which they granted the underwriters of the offering a 30-day option to purchase up to an additional 1,200,000 shares of common stock. Pursuant to the underwriting agreement, the underwriters agreed to resell to FNF 4,500,000 shares of F&amp;G common stock at the same price per share paid by the underwriters, which was $33.60 per share. The underwriters option expired unexercised. F&amp;G is using the net proceeds from the offering for general corporate purposes, including the support of organic growth opportunities.</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continually assess our capital allocation strategy, including decisions relating to the amount of our dividend, reducing debt, repurchasing our stock, investing in growth of our subsidiaries,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Revolving Credit Facility and the F&amp;G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title insurance subsidiaries generate cash from premiums earned and their respective investment portfolios, and these funds are adequate to satisfy the payments of claims and other liabilities. Due to the magnitude of our title segment investment portfolio in relation to our title claim loss reserves, we do not specifically match durations of our investments to the cash outflows required to pay claims, but do manage outflows on a shorter time frame.</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2025, $1,141 million of our net assets were restricted from dividend payments without prior approval from the relevant departments of insurance. We anticipate that our title insurance subsidiaries will pay or make dividends to us in 2026 of approximately $437 million. Our underwritten title companies and non-insurance subsidiaries are not regulated to the same extent as our insurance subsidiaries.</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Cash flow from our operations will be used for general corporate purposes including to reinvest in operations, repay debt, pay dividends, repurchase stock, pursue other strategic initiatives and/or conserve cash.</w:t>
      </w:r>
    </w:p>
    <w:p>
      <w:pPr>
        <w:spacing w:after="0" w:line="3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i w:val="1"/>
          <w:iCs w:val="1"/>
          <w:color w:val="auto"/>
        </w:rPr>
        <w:t>Operating Cash Flow</w:t>
      </w:r>
      <w:r>
        <w:rPr>
          <w:rFonts w:ascii="Times New Roman" w:cs="Times New Roman" w:eastAsia="Times New Roman" w:hAnsi="Times New Roman"/>
          <w:sz w:val="14"/>
          <w:szCs w:val="14"/>
          <w:color w:val="auto"/>
        </w:rPr>
        <w:t>. Our cash flows provided by operations for the years ended December 31, 2025, 2024, and 2023 were $5,828 million, $6,815 million, and $6,478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decrease in cash provided by operating activities of $987 million in 2025 as compared to 2024 is primarily attributable to the decrease in cash inflows from net earnings, decreased cash inflows associated with the change in funds withheld from reinsurers of $518 million and decreased cash inflows associated with the change in future policy benefits of $143 million, partially offset by increased cash inflows from the change in derivative collateral liabilities of $158 million and increased cash inflows associated with the change in other assets and other liabilities of $206 million. The increase in cash provided by operating activities of $337 million in 2024 as compared to 2023 is primarily attributable to the increase in net earnings of $873 million, increased cash inflows associated with the change in future policy benefits of $528 million, increased cash inflows associated with the change in funds withheld from reinsurers of $409 million and net cash inflows associated with the change in income taxes of $83 million in 2024 as compared to net cash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outflows of $50 million in 2023, partially offset by reduced net cash inflows associated with the change in derivative collateral liabilities of $319 million and increased net cash outflows associated with the timing of receipts and payments of prepaid assets, payables, and receivables of $268 million.</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Investing Cash Flows. </w:t>
      </w:r>
      <w:r>
        <w:rPr>
          <w:rFonts w:ascii="Times New Roman" w:cs="Times New Roman" w:eastAsia="Times New Roman" w:hAnsi="Times New Roman"/>
          <w:sz w:val="14"/>
          <w:szCs w:val="14"/>
          <w:color w:val="auto"/>
        </w:rPr>
        <w:t>Our cash used in investing activities for the years ended December 31, 2025, 2024, and 2023 were $8,934 million, $7,862 million, and $9,090 million, respectively.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in cash used in investing activities in 2025 as compared to 2024 of $1,072 million is primarily associated with increased cash outflows for purchases of investment securities of $5,373 million, increased cash outflows for additional investments in unconsolidated affiliates of $1,362 million, partially increased cash inflows from proceeds, sales and calls of investment securities of $2,711 million, increased net proceeds from sales and maturities of short-term investment securities of $2,374 million and reduced cash outflows associated with acquisitions of $524 million. The decrease in cash used in investing activities in 2024 as compared to 2023 of $1,228 million is primarily associated with increased cash inflows from proceeds from sales, calls and maturities of investment securities of $6,399 million, increased cash inflows from distributions received from unconsolidated affiliates of $198 million and decreased investments in unconsolidated affiliates of $165 million, partially offset by increased purchases of investment securities of $3,840 million, increased cash outflows associated with acquisitions of $287 million and net purchases of short-term investment securities of $1,416 million in 2024 as compared to net proceeds from sales and maturities of short-term investment securities of $340 million in 2023.</w:t>
      </w:r>
    </w:p>
    <w:p>
      <w:pPr>
        <w:spacing w:after="0" w:line="58"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Capital Expenditures. </w:t>
      </w:r>
      <w:r>
        <w:rPr>
          <w:rFonts w:ascii="Times New Roman" w:cs="Times New Roman" w:eastAsia="Times New Roman" w:hAnsi="Times New Roman"/>
          <w:sz w:val="14"/>
          <w:szCs w:val="14"/>
          <w:color w:val="auto"/>
        </w:rPr>
        <w:t>Total capital expenditures for property and equipment and capitalized software were $147 million, $146 million, and $132 million for the year ended December 31, 2025,</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2024, and 2023 respectively.</w:t>
      </w:r>
    </w:p>
    <w:p>
      <w:pPr>
        <w:spacing w:after="0" w:line="3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Financing Cash Flows. </w:t>
      </w:r>
      <w:r>
        <w:rPr>
          <w:rFonts w:ascii="Times New Roman" w:cs="Times New Roman" w:eastAsia="Times New Roman" w:hAnsi="Times New Roman"/>
          <w:sz w:val="14"/>
          <w:szCs w:val="14"/>
          <w:color w:val="auto"/>
        </w:rPr>
        <w:t>Our cash flows provided by financing activities for the years ended December 31, 2025, 2024, and 2023 were $2,263 million, $1,759 million, and $3,093 million,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respectively. The increase in cash provided by financing activities of $504 million in 2025 as compared to 2024 is primarily associated with increased cash inflows from contractholder deposits of $1,428 million, repayments under the F&amp;G credit agreement of $365 million in 2024, cash inflows from the offering of F&amp;G common stock of $117 million and net cash inflows associated with the change in secured trust deposits of $180 million in 2025 as compared to net cash outflows of $179 million in 2024, partially offset by increased contractholder withdrawals of $753 million, reduced cash inflows from debt offerings of $675 million and increased purchases of treasury stock of $251 million. The decrease in cash provided by financing activities of $1,334 million in 2024 as compared to 2023 is primarily associated with increased cash outflows from contractholder withdrawals of $3,385 million, cash outflows for the tender offer of $250 million of our 5.50% F&amp;G Notes and increased cash outflows associated with repayments of principal outstanding on our F&amp;G Credit Agreement of $180 million, partially offset by increased cash inflows from contractholder deposits of $2,360 million and increased cash inflows associated with the issuance of our 6.25% F&amp;G Senior Notes of $500 million and the issuance of our 6.50% F&amp;G Senior Notes of $550 million in 2024, as compared to the issuance of our 7.95% F&amp;G Notes of $345 million and the issuance of our 7.40% F&amp;G Notes of $500 million in 2023.</w:t>
      </w:r>
    </w:p>
    <w:p>
      <w:pPr>
        <w:spacing w:after="0" w:line="61" w:lineRule="exact"/>
        <w:rPr>
          <w:sz w:val="20"/>
          <w:szCs w:val="20"/>
          <w:color w:val="auto"/>
        </w:rPr>
      </w:pPr>
    </w:p>
    <w:p>
      <w:pPr>
        <w:jc w:val="both"/>
        <w:ind w:firstLine="255"/>
        <w:spacing w:after="0" w:line="274" w:lineRule="auto"/>
        <w:rPr>
          <w:sz w:val="20"/>
          <w:szCs w:val="20"/>
          <w:color w:val="auto"/>
        </w:rPr>
      </w:pPr>
      <w:r>
        <w:rPr>
          <w:rFonts w:ascii="Times New Roman" w:cs="Times New Roman" w:eastAsia="Times New Roman" w:hAnsi="Times New Roman"/>
          <w:sz w:val="14"/>
          <w:szCs w:val="14"/>
          <w:i w:val="1"/>
          <w:iCs w:val="1"/>
          <w:color w:val="auto"/>
        </w:rPr>
        <w:t xml:space="preserve">Financing Arrangements. </w:t>
      </w:r>
      <w:r>
        <w:rPr>
          <w:rFonts w:ascii="Times New Roman" w:cs="Times New Roman" w:eastAsia="Times New Roman" w:hAnsi="Times New Roman"/>
          <w:sz w:val="14"/>
          <w:szCs w:val="14"/>
          <w:color w:val="auto"/>
        </w:rPr>
        <w:t>For a description of our financing arrangements see Note F</w:t>
      </w:r>
      <w:r>
        <w:rPr>
          <w:rFonts w:ascii="Times New Roman" w:cs="Times New Roman" w:eastAsia="Times New Roman" w:hAnsi="Times New Roman"/>
          <w:sz w:val="14"/>
          <w:szCs w:val="14"/>
          <w:i w:val="1"/>
          <w:iCs w:val="1"/>
          <w:color w:val="auto"/>
        </w:rPr>
        <w:t xml:space="preserve"> Notes Payable </w:t>
      </w:r>
      <w:r>
        <w:rPr>
          <w:rFonts w:ascii="Times New Roman" w:cs="Times New Roman" w:eastAsia="Times New Roman" w:hAnsi="Times New Roman"/>
          <w:sz w:val="14"/>
          <w:szCs w:val="14"/>
          <w:color w:val="auto"/>
        </w:rPr>
        <w:t>included in Item 8 of Part II of this Annual Report, which is incorporated by reference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Item 7 of Part II.</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Obligations - Contractual and Other. </w:t>
      </w:r>
      <w:r>
        <w:rPr>
          <w:rFonts w:ascii="Times New Roman" w:cs="Times New Roman" w:eastAsia="Times New Roman" w:hAnsi="Times New Roman"/>
          <w:sz w:val="14"/>
          <w:szCs w:val="14"/>
          <w:color w:val="auto"/>
        </w:rPr>
        <w:t>As of December 31, 2025, our required annual payments relating to contractual and other obligations were as follows:</w:t>
      </w:r>
    </w:p>
    <w:p>
      <w:pPr>
        <w:spacing w:after="0" w:line="112"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34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2028</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2029</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2030</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3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6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 principal repayment</w:t>
            </w:r>
          </w:p>
        </w:tc>
        <w:tc>
          <w:tcPr>
            <w:tcW w:w="60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2,270</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4,452</w:t>
            </w:r>
          </w:p>
        </w:tc>
      </w:tr>
      <w:tr>
        <w:trPr>
          <w:trHeight w:val="153"/>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payments</w:t>
            </w:r>
          </w:p>
        </w:tc>
        <w:tc>
          <w:tcPr>
            <w:tcW w:w="6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408</w:t>
            </w:r>
          </w:p>
        </w:tc>
      </w:tr>
      <w:tr>
        <w:trPr>
          <w:trHeight w:val="16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Annuity and universal life products</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7,900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6,881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86,938</w:t>
            </w:r>
          </w:p>
        </w:tc>
      </w:tr>
      <w:tr>
        <w:trPr>
          <w:trHeight w:val="153"/>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Pension risk transfer annuity payments</w:t>
            </w:r>
          </w:p>
        </w:tc>
        <w:tc>
          <w:tcPr>
            <w:tcW w:w="6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12,854</w:t>
            </w:r>
          </w:p>
        </w:tc>
      </w:tr>
      <w:tr>
        <w:trPr>
          <w:trHeight w:val="16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 (FABN/FHLB)</w:t>
            </w:r>
          </w:p>
        </w:tc>
        <w:tc>
          <w:tcPr>
            <w:tcW w:w="6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1,776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6,507</w:t>
            </w:r>
          </w:p>
        </w:tc>
      </w:tr>
      <w:tr>
        <w:trPr>
          <w:trHeight w:val="153"/>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claim loss estimated payments</w:t>
            </w:r>
          </w:p>
        </w:tc>
        <w:tc>
          <w:tcPr>
            <w:tcW w:w="6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1,701</w:t>
            </w:r>
          </w:p>
        </w:tc>
      </w:tr>
      <w:tr>
        <w:trPr>
          <w:trHeight w:val="165"/>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on fixed rate notes payable</w:t>
            </w:r>
          </w:p>
        </w:tc>
        <w:tc>
          <w:tcPr>
            <w:tcW w:w="60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1,438</w:t>
            </w:r>
          </w:p>
        </w:tc>
      </w:tr>
      <w:tr>
        <w:trPr>
          <w:trHeight w:val="150"/>
        </w:trPr>
        <w:tc>
          <w:tcPr>
            <w:tcW w:w="3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6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10,660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10,958</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12,645</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10,034</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8,822</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61,179</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114,298</w:t>
            </w:r>
          </w:p>
        </w:tc>
      </w:tr>
      <w:tr>
        <w:trPr>
          <w:trHeight w:val="20"/>
        </w:trPr>
        <w:tc>
          <w:tcPr>
            <w:tcW w:w="3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we had title insurance reserves of $1,700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51"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mortgage interest rates, which will affect the number of real estate and refinancing transactions and; therefore, the rate at which title insurance claims will emerge;</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24"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520" w:hanging="260"/>
        <w:spacing w:after="0" w:line="263"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environment whereby court decisions and reinterpretations of title insurance policy language to broaden coverage could increase total obligations and influence claim payout patterns;</w:t>
      </w:r>
    </w:p>
    <w:p>
      <w:pPr>
        <w:spacing w:after="0" w:line="247"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cost trends whereby increases or decreases in inflationary factors (including the value of real estate) will influence the ultimate amount of title insurance loss payments.</w:t>
      </w:r>
    </w:p>
    <w:p>
      <w:pPr>
        <w:spacing w:after="0" w:line="13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We sponsor certain frozen pension and other post-retirement benefit plans. See Note T </w:t>
      </w:r>
      <w:r>
        <w:rPr>
          <w:rFonts w:ascii="Times New Roman" w:cs="Times New Roman" w:eastAsia="Times New Roman" w:hAnsi="Times New Roman"/>
          <w:sz w:val="14"/>
          <w:szCs w:val="14"/>
          <w:i w:val="1"/>
          <w:iCs w:val="1"/>
          <w:color w:val="auto"/>
        </w:rPr>
        <w:t>Employee Benefit Plans</w:t>
      </w:r>
      <w:r>
        <w:rPr>
          <w:rFonts w:ascii="Times New Roman" w:cs="Times New Roman" w:eastAsia="Times New Roman" w:hAnsi="Times New Roman"/>
          <w:sz w:val="14"/>
          <w:szCs w:val="14"/>
          <w:color w:val="auto"/>
        </w:rPr>
        <w:t xml:space="preserve"> to our Consolidated Financial Statements included in Item 8 of Part II of this Annual Report for further information.</w:t>
      </w:r>
    </w:p>
    <w:p>
      <w:pPr>
        <w:spacing w:after="0" w:line="35"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Capital Stock Tran</w:t>
      </w:r>
      <w:r>
        <w:rPr>
          <w:rFonts w:ascii="Times New Roman" w:cs="Times New Roman" w:eastAsia="Times New Roman" w:hAnsi="Times New Roman"/>
          <w:sz w:val="14"/>
          <w:szCs w:val="14"/>
          <w:color w:val="auto"/>
        </w:rPr>
        <w:t>s</w:t>
      </w:r>
      <w:r>
        <w:rPr>
          <w:rFonts w:ascii="Times New Roman" w:cs="Times New Roman" w:eastAsia="Times New Roman" w:hAnsi="Times New Roman"/>
          <w:sz w:val="14"/>
          <w:szCs w:val="14"/>
          <w:i w:val="1"/>
          <w:iCs w:val="1"/>
          <w:color w:val="auto"/>
        </w:rPr>
        <w:t>actions</w:t>
      </w:r>
      <w:r>
        <w:rPr>
          <w:rFonts w:ascii="Times New Roman" w:cs="Times New Roman" w:eastAsia="Times New Roman" w:hAnsi="Times New Roman"/>
          <w:sz w:val="14"/>
          <w:szCs w:val="14"/>
          <w:color w:val="auto"/>
        </w:rPr>
        <w:t>. On August 3, 2021, our Board of Directors approved the 2021 Repurchase Program under which we may purchase up to 25 million shares of our FNF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July 31, 2024 (the "2021 Repurchase Program"). On July 31, 2024, our Board of Directors approved a new three-year stock repurchase program effective July 31, 2024 (the "2024 Repurchase Program") under which we are authorized to purchase up to 25 million shares of our FNF common stock through July 31, 2027. During the year ended December 31, 2024, we did not repurchase any FNF common stock under the 2021 Repurchase Program or the 2024 Repurchase Program. During the year ended December 31, 2025, we repurchased a total of 4,426,224 FNF common shares for an aggregate amount of $252 million, or an average of $56.80 per share. Subsequent to December 31, 2025 and through market close on February 19, 2026, we repurchased a total of 60,000 shares, for approximately $3 million, or an average of $55.66 under the 2024 Repurchase Program.</w:t>
      </w:r>
    </w:p>
    <w:p>
      <w:pPr>
        <w:spacing w:after="0" w:line="57"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Equity and Preferred Security Investments. </w:t>
      </w:r>
      <w:r>
        <w:rPr>
          <w:rFonts w:ascii="Times New Roman" w:cs="Times New Roman" w:eastAsia="Times New Roman" w:hAnsi="Times New Roman"/>
          <w:sz w:val="14"/>
          <w:szCs w:val="14"/>
          <w:color w:val="auto"/>
        </w:rPr>
        <w:t>Our equity and preferred security investments may be subject to significant volatility. Currently prevailing accounting standards require us to record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change in fair value of equity and preferred security investments held as of any given period end within earnings. Our results of operations in future periods are anticipated to be subject to such volatility.</w:t>
      </w:r>
    </w:p>
    <w:p>
      <w:pPr>
        <w:spacing w:after="0" w:line="49"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Off-Balance Sheet Arrangements. </w:t>
      </w:r>
      <w:r>
        <w:rPr>
          <w:rFonts w:ascii="Times New Roman" w:cs="Times New Roman" w:eastAsia="Times New Roman" w:hAnsi="Times New Roman"/>
          <w:sz w:val="14"/>
          <w:szCs w:val="14"/>
          <w:color w:val="auto"/>
        </w:rPr>
        <w:t>In conducting our operations, we routinely hold customers’ assets in escrow, pending completion of real estate transactions, and are responsible for the proper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disposition of these balances for our customers. Certain of these amounts are maintained in segregated bank accounts and have not been included in the accompanying Consolidated Balance Sheets, consistent with GAAP and industry practice. These balances amounted to $16.2 billion and $14.4 billion at December 31, 2025, and 2024, respectively. As a result of holding these customers’ assets in escrow, we have ongoing programs for realizing economic benefits during the year through favorable borrowing and vendor arrangements with various banks.</w:t>
      </w:r>
    </w:p>
    <w:p>
      <w:pPr>
        <w:spacing w:after="0" w:line="9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We have unfunded investment commitments as of December 31, 2025, based upon the timing of when investments are executed compared to when the actual investments are funded, as some investments require that funding occur over a period of months or years. We also have unfunded commitments to consolidated VIEs. Please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and Note G </w:t>
      </w:r>
      <w:r>
        <w:rPr>
          <w:rFonts w:ascii="Times New Roman" w:cs="Times New Roman" w:eastAsia="Times New Roman" w:hAnsi="Times New Roman"/>
          <w:sz w:val="14"/>
          <w:szCs w:val="14"/>
          <w:i w:val="1"/>
          <w:iCs w:val="1"/>
          <w:color w:val="auto"/>
        </w:rPr>
        <w:t>Commitments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Contingencies </w:t>
      </w:r>
      <w:r>
        <w:rPr>
          <w:rFonts w:ascii="Times New Roman" w:cs="Times New Roman" w:eastAsia="Times New Roman" w:hAnsi="Times New Roman"/>
          <w:sz w:val="14"/>
          <w:szCs w:val="14"/>
          <w:color w:val="auto"/>
        </w:rPr>
        <w:t>to the Consolidated Financial Statements included in Item 8 of Part II of this Annual Report for additional details on unfunded investment commitments.</w:t>
      </w:r>
    </w:p>
    <w:p>
      <w:pPr>
        <w:spacing w:after="0" w:line="49" w:lineRule="exact"/>
        <w:rPr>
          <w:sz w:val="20"/>
          <w:szCs w:val="20"/>
          <w:color w:val="auto"/>
        </w:rPr>
      </w:pPr>
    </w:p>
    <w:p>
      <w:pPr>
        <w:jc w:val="both"/>
        <w:ind w:firstLine="255"/>
        <w:spacing w:after="0" w:line="250" w:lineRule="auto"/>
        <w:rPr>
          <w:sz w:val="20"/>
          <w:szCs w:val="20"/>
          <w:color w:val="auto"/>
        </w:rPr>
      </w:pPr>
      <w:r>
        <w:rPr>
          <w:rFonts w:ascii="Times New Roman" w:cs="Times New Roman" w:eastAsia="Times New Roman" w:hAnsi="Times New Roman"/>
          <w:sz w:val="14"/>
          <w:szCs w:val="14"/>
          <w:i w:val="1"/>
          <w:iCs w:val="1"/>
          <w:color w:val="auto"/>
        </w:rPr>
        <w:t xml:space="preserve">FHLB Collateral. </w:t>
      </w:r>
      <w:r>
        <w:rPr>
          <w:rFonts w:ascii="Times New Roman" w:cs="Times New Roman" w:eastAsia="Times New Roman" w:hAnsi="Times New Roman"/>
          <w:sz w:val="14"/>
          <w:szCs w:val="14"/>
          <w:color w:val="auto"/>
        </w:rPr>
        <w:t>We are currently a member of the FHLB and are required to maintain a collateral deposit that backs any funding agreements issued. We use these funding agreements as part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 spread enhancement strategy. We have the ability to obtain funding from the FHLB based on a percentage of the value of our assets, subject to the availability of eligible collateral. Collateral is pledged based on the outstanding balances of FHLB funding agreements. The amount of funding varies based on the type, rating and maturity of the collateral posted to the FHLB. Generally, U.S. government agency notes, mortgage-backed securities, municipal bonds, and commercial and residential whole loans are pledged to the FHLB as collateral. Market value fluctuations resulting from changes in interest rates, spreads and other risk factors for each type of asset are monitored and additional collateral is either pledged or released as needed.</w:t>
      </w:r>
    </w:p>
    <w:p>
      <w:pPr>
        <w:spacing w:after="0" w:line="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borrowing capacity under these credit facilities does not have an expiration date as long as we maintain a satisfactory level of creditworthiness based on the FHLB’s credit assessment. As of December 31, 2025, and 2024, we had $2,899 million and $2,852 million, respectively, in FHLB non-putable funding agreements included under contractholder funds on our consolidated balance sheet. As of December 31, 2025, and 2024, we had assets with a fair value of approximately $4,621 million and $4,289 million, respectively, which collateralized the FHLB funding agreements. Assets pledged to the FHLB are included in fixed maturities, AFS, on our consolidated balance sheets.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Collateral-Derivative Contracts. </w:t>
      </w:r>
      <w:r>
        <w:rPr>
          <w:rFonts w:ascii="Times New Roman" w:cs="Times New Roman" w:eastAsia="Times New Roman" w:hAnsi="Times New Roman"/>
          <w:sz w:val="14"/>
          <w:szCs w:val="14"/>
          <w:color w:val="auto"/>
        </w:rPr>
        <w:t>Under the terms of our ISDA agreements, we may receive from, or deliver to, counterparties collateral to assure that all terms of the ISDA agreements will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met with regard to the Credit Support Annex (“CSA”). The terms of the CSA call for us to pay interest on any cash received equal to the federal funds rate. As of December 31, 2025, and 2024, respectively, $1,185 million and $771 million of collateral was posted by our counterparties as they did not meet the net exposure thresholds. Collateral requirements are monitored on a daily basis and incorporate changes in market values of both the derivatives contract as well as the collateral pledged. Market value fluctuations are due to changes in interest rates, spreads and other risk factors.</w:t>
      </w:r>
    </w:p>
    <w:p>
      <w:pPr>
        <w:spacing w:after="0" w:line="53"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 about Market Risk</w:t>
      </w:r>
    </w:p>
    <w:p>
      <w:pPr>
        <w:spacing w:after="0" w:line="94"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In the normal course of business, we are routinely subject to a variety of risks, as described in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of this Annual Report and in our other filings with the SEC. For example, we are exposed to the risk that decreased real estate activity, which depends in part on the level of interest rates, may reduce our revenues.</w:t>
      </w:r>
    </w:p>
    <w:p>
      <w:pPr>
        <w:spacing w:after="0" w:line="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fixed income investments.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regularly assess these market risks and have established policies and business practices designed to protect against the adverse effects of these exposures.</w:t>
      </w:r>
    </w:p>
    <w:p>
      <w:pPr>
        <w:spacing w:after="0" w:line="8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2025, we had $4,400 million in long-term debt, none of which bears interest at a floating rate. Accordingly, fluctuations in market interest rates will not have a material impact on our resulting interest expense.</w:t>
      </w:r>
    </w:p>
    <w:p>
      <w:pPr>
        <w:spacing w:after="0" w:line="2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fixed maturity investments, certain preferred securities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w:t>
      </w:r>
    </w:p>
    <w:p>
      <w:pPr>
        <w:spacing w:after="0" w:line="3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Equity price risk is the risk that we will incur economic losses due to adverse changes in equity prices. In the past, our exposure to changes in equity prices primarily resulted from our holdings of equity securities. As of December 31, 2025, we held $493 million in marketable equity securities (not including our investments in preferred securities of $436 million and our investments in unconsolidated affiliates of $5,166 million).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Financial instruments, which potentially subject us to concentrations of credit risk, consist primarily of cash equivalents, short-term investments, and trade receivables. We require placement of cash in financial institutions evaluated as highly creditworthy.</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purposes of this Annual Report, we perform a sensitivity analysis to determine the effects that market risk exposures may have on the fair values of our debt and other financial instruments.</w:t>
      </w:r>
    </w:p>
    <w:p>
      <w:pPr>
        <w:spacing w:after="0" w:line="7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financial instruments that are included in the sensitivity analysis with respect to interest rate risk include fixed maturity investments, preferred securities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4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1.7% of total liabilities at December 31, 2025) is not included in the hypothetical effects.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 Factors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We have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3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no market risk sensitive instruments entered into for trading purposes; therefore, all of our market risk sensitive instruments were entered into for purposes other than trading. The results of the sensitivity analysis at December 31, 2025 and 2024, are as follows: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Interest Rate Risk</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an increase (decrease) in the levels of interest rates of 100 basis points, with all other variables held constant, would result in a (decrease) increase in the fair value of our fixed maturity securities and certain of our investments in preferred securities, which are tied to interest rates of $3.2 billion as compared with a (decrease) increase of $2.7 billion at December 31, 2024.</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 such securities at losses prior to their maturity to meet liquidity needs. Within our F&amp;G segment, liquidity needs are managed using the surrender and withdrawal provisions of the annuity contracts and through other means.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 10% increase (decrease) in market prices, with all other variables held constant, would result in an increase (decrease) in the fair value of our equity securities portfolio of $49 million, as compared with an increase (decrease) of $64 million at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noted above, we use various derivative instruments to hedge substantially all of our foreign currency exposure such that sensitivity to changes in foreign currencies is minimal.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Interest Rate Risk Related to our F&amp;G Segment</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Interest rate risk is the F&amp;G segment's primary market risk exposure. An increase in the levels of interest rates of 100 basis points, with all other variables held constant, would result in a decrease in the fair value of our fixed maturity securities and certain investments in preferred securities of approximately $3.1 billion, a net decrease in the fair value of interest rate swaps of approximately $0.1 billion and a net decrease in the combined fair value of embedded derivatives and MRBs of approximately $0.8 billion at December 31, 2025. For comparison, a similar increase in the levels of interest rates of 100 basis points, with all other variables held constant, would have resulted in a decrease in the fair value of our fixed maturity securities and certain investments in preferred securities of approximately $2.6 billion, a net decrease in the fair value of interest rate swaps of approximately $0.1 billion and a net decrease in the combined fair value of embedded derivatives and MRBs of approximately $0.6 billion at December 31, 2024.</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100 basis point shift in interest rates for our floating rate debt and funding agreements will increase or decrease floating expense by approximately $28 million and $17 million per year as of December 31, 2025 and 2024, respectively. As noted above, the impact to net earnings related to the interest rate swaps and floating rate notes payable and funding agreements will be significantly offset by corresponding changes in investment income associated with our floating rate investments.</w:t>
      </w:r>
    </w:p>
    <w:p>
      <w:pPr>
        <w:spacing w:after="0" w:line="5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we actively manage our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we were required to sell</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such securities at losses prior to their maturity to meet liquidity needs. Our liquidity needs are managed using the surrender and withdrawal provisions of the annuity contracts and through other means.</w:t>
      </w:r>
    </w:p>
    <w:p>
      <w:pPr>
        <w:spacing w:after="0" w:line="24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duration of the investment portfolio, excluding cash and cash equivalents, derivatives, policy loans, and common stocks as of December 31, 2025, and 2024, is summarized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1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r>
      <w:tr>
        <w:trPr>
          <w:trHeight w:val="154"/>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Duration (years)</w:t>
            </w:r>
          </w:p>
        </w:tc>
        <w:tc>
          <w:tcPr>
            <w:tcW w:w="80" w:type="dxa"/>
            <w:vAlign w:val="bottom"/>
          </w:tcPr>
          <w:p>
            <w:pPr>
              <w:spacing w:after="0"/>
              <w:rPr>
                <w:sz w:val="13"/>
                <w:szCs w:val="13"/>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14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4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32,061</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56 %</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29,363</w:t>
            </w: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54 %</w:t>
            </w:r>
          </w:p>
        </w:tc>
      </w:tr>
      <w:tr>
        <w:trPr>
          <w:trHeight w:val="153"/>
        </w:trPr>
        <w:tc>
          <w:tcPr>
            <w:tcW w:w="4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12,891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12,526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r>
      <w:tr>
        <w:trPr>
          <w:trHeight w:val="16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10-14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11,311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20 %</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10,448</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r>
      <w:tr>
        <w:trPr>
          <w:trHeight w:val="153"/>
        </w:trPr>
        <w:tc>
          <w:tcPr>
            <w:tcW w:w="4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6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30 and over</w:t>
            </w: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0" w:type="dxa"/>
            <w:vAlign w:val="bottom"/>
          </w:tcPr>
          <w:p>
            <w:pPr>
              <w:spacing w:after="0"/>
              <w:rPr>
                <w:sz w:val="13"/>
                <w:szCs w:val="13"/>
                <w:color w:val="auto"/>
              </w:rPr>
            </w:pPr>
          </w:p>
        </w:tc>
        <w:tc>
          <w:tcPr>
            <w:tcW w:w="2040" w:type="dxa"/>
            <w:vAlign w:val="bottom"/>
            <w:gridSpan w:val="3"/>
          </w:tcPr>
          <w:p>
            <w:pPr>
              <w:jc w:val="right"/>
              <w:ind w:right="62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75"/>
        </w:trPr>
        <w:tc>
          <w:tcPr>
            <w:tcW w:w="4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57,750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54,232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Price Risk Related to our F&amp;G Segment</w:t>
      </w:r>
    </w:p>
    <w:p>
      <w:pPr>
        <w:spacing w:after="0" w:line="10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Our F&amp;G segment is exposed to equity price risk through certain insurance products. Equity price risk is the risk that we will incur economic losses due to adverse changes in equity prices. In the past, our exposure to changes in equity prices primarily resulted from our holdings of equity securities. Refer to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to the Consolidated Financial Statements included in Part II - Item 8 of this Annual Report on Form 10-K for additional details on how the carrying values of these investments are determined as of the balance sheet date. Carrying values are subject to fluctuation and, consequently, the amount realized in the subsequent sale of an investment may significantly differ from the reported carrying value. Fluctuation in the carrying value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4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are also exposed to equity price risk through certain insurance products. We offer a variety of indexed annuities and IUL contracts with crediting strategies linked to the performance of indices such as the S&amp;P 500 Index, Dow Jones Industrials or the NASDAQ 100 Index, and target volatility indices. Additionally, the estimated cost of providing GMWB on indexed annuity products incorporates various assumptions about the overall performance of equity markets over certain time periods. Periods of significant and sustained downturns in equity markets or increased equity volatility could result in an increase in the valuation of the MRB liabilities and decrease in the valuation of contractholder funds liabilities associated with such products.</w:t>
      </w:r>
    </w:p>
    <w:p>
      <w:pPr>
        <w:spacing w:after="0" w:line="3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To economically hedge the equity returns on these products, we purchase derivatives to hedge the indexed annuities and IUL equity exposures. The primary way we hedge indexed annuities and IUL equity exposure is to purchase over the counter equity index equity options from broker-dealer derivative counterparties approved by F&amp;G. The second way to hedge indexed annuities and IUL equity exposure is by purchasing exchange traded equity index futures contracts. This hedging strategy enables us to reduce the overall hedging costs and achieve a high correlation of returns on the equity options purchased relative to the index credits earned by the indexed annuities/IUL contractholders. The majority of the equity options are one-year options purchased to match the funding requirements underlying the indexed annuities/IUL contracts. These hedge programs are limited to the current policy term of the indexed annuities/IUL contracts. Future returns, which may be reflected in indexed annuities IUL contracts’ credited rates beyond the current policy term, are not hedged. We attempt to manage the costs of these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purchases through the terms of the indexed annuities/IUL contracts, which permit us to change cap, spread or participation rates, subject to certain guaranteed minimums that must be maintained.</w:t>
      </w:r>
    </w:p>
    <w:p>
      <w:pPr>
        <w:spacing w:after="0" w:line="72"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derivatives are used to fund the indexed annuities/IUL contract index credits and the cost of the equity options purchased is treated as a component of spread earnings. While the indexed annuities/IUL hedging program does not explicitly hedge GAAP income volatility, the indexed annuities/IUL hedging program tends to mitigate a significant portion of the GAAP reserve changes associated with movements in the equity market.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we incur a raw hedging loss.</w:t>
      </w:r>
    </w:p>
    <w:p>
      <w:pPr>
        <w:spacing w:after="0" w:line="60"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to the Consolidated Financial Statements included in Part II - Item 8 of this Annual Report on Form 10-K for additional details on the derivatives portfolio.</w:t>
      </w:r>
    </w:p>
    <w:p>
      <w:pPr>
        <w:spacing w:after="0" w:line="80"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Fair value changes associated with these investments are intended to, but do not always, substantially offset the increase or decrease in the amounts added to contractholder funds for indexed products. When index credits to policyholders exceed option proceeds received at expiration related to such credits, any shortfall is funded by our excess of net investment income earned over the sum of interest credited to policyholders and the cost of hedging our risk on indexed product policies and futures income. For the years ended December 31, 2025, 2024, and 2023, the annual index credits to policyholders on their anniversaries were $721 million, $725 million, and $203 million, respectively. Proceeds received at expiration of options related to such credits were $705 million, $849 million, and $212 million, respectively.</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market exposures are hedged periodically depending on market conditions and our risk tolerance. The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risk tolerance change.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Exchange Rate Risk</w:t>
      </w:r>
    </w:p>
    <w:p>
      <w:pPr>
        <w:spacing w:after="0" w:line="127"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F&amp;G segments fair value exposure to fluctuations in foreign currency exchange rates against the U.S. dollar results from our holdings in non-U.S. dollar denominated fixed maturity securities and an investment in an unconsolidated affiliate. The principal currencies that create foreign currency exchange rate risk in our investment portfolio are the Euro and the British Pound. We use various derivative instruments to hedge substantially all of our foreign currency exposure such that sensitivity to changes in foreign currencies is minimal.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Risk and Counterparty Risk Related to our F&amp;G Segment</w:t>
      </w:r>
    </w:p>
    <w:p>
      <w:pPr>
        <w:spacing w:after="0" w:line="11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F&amp;G segment is exposed to the risk that a counterparty will default on its contractual obligation resulting in financial loss. Our major source of credit risk arises predominantly in our insurance operations’ portfolios of debt and similar securities. The fair value of our fixed maturity portfolio totaled $53 billion at December 31, 2025. Our credit risk materializes primarily as impairment losses. We are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our capital requirements is also dependent on the economic cycle and increased asset impairment levels may go hand in hand with increased asset related capital requirements.</w:t>
      </w:r>
    </w:p>
    <w:p>
      <w:pPr>
        <w:spacing w:after="0" w:line="6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attempt to manage the risk of default and rating migration by applying disciplined credit evaluation and underwriting standards and limiting allocations to lower quality, higher risk investments. In addition, we diversify exposure by issuer and country, using rating-based issuer and country limits. We also set investment constraints that limit our exposure by industry segment. To limit the impact that credit risk can have on earnings and capital adequacy levels, we have portfolio-level credit risk constraints in place. Limit compliance is monitored on a monthly basis.</w:t>
      </w:r>
    </w:p>
    <w:p>
      <w:pPr>
        <w:spacing w:after="0" w:line="30"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connection with the use of derivative instruments, we are exposed to counterparty credit risk-the risk that a counterparty fails to perform under the terms of the derivative contract. We have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policy allows for the purchase of derivative instruments from counterparties and/or clearinghouses that meet the required qualifications under the insurance laws of Iowa. We review the ratings of all the counterparties periodically. Collateral support documents are negotiated to further reduce the exposure when deemed necessary. See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 xml:space="preserve"> in the Consolidated Financial Statements included in Part II - Item 8 of this Annual Report on Form 10-K for additional information regarding our exposure to credit loss.</w:t>
      </w:r>
    </w:p>
    <w:p>
      <w:pPr>
        <w:spacing w:after="0" w:line="30"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also have credit risk related to the ability of reinsurance counterparties to honor their obligations to pay the contract amounts under various agreements. To minimize the risk of credit loss on such contracts, we diversify exposures among many reinsurers and limit the amount of exposure to each based on credit rating. We also generally limit selection of counterparties with which to do new transactions to those with an “A-” credit rating or above from at least one of the major rating agencies and/or that are appropriately collateralized and provide credit for reinsurance.</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certain reinsurance recoverables are subject to reviews by the reinsurers. We are not aware of any material disputes arising from these reviews or other communications with the counterparties as of December 31, 2025, and 2024, that would require an increase to the allowance for credit losses.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on concentrations of reinsurance risk, refer to Note N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in the Consolidated Financial Statements included in Part II - Item 8 of this Annual Report on Form 10-</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w:t>
      </w:r>
    </w:p>
    <w:p>
      <w:pPr>
        <w:spacing w:after="0" w:line="7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For further information on certain risk associated with our business, refer to Note G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in the Consolidated Financial Statements included in Part II - Item 8 of this Annual Report on Form 10-K.</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 and Assumptions</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included in Item 8 of Part II of this Annual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Instruments Related to our F&amp;G Segment</w:t>
      </w:r>
    </w:p>
    <w:p>
      <w:pPr>
        <w:spacing w:after="0" w:line="72"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i w:val="1"/>
          <w:iCs w:val="1"/>
          <w:color w:val="auto"/>
        </w:rPr>
        <w:t>Management's Discussion and Analysis of Financial Condition and Results of Operations - Investment Portfolio - Investment Industry Concentrations</w:t>
      </w:r>
      <w:r>
        <w:rPr>
          <w:rFonts w:ascii="Times New Roman" w:cs="Times New Roman" w:eastAsia="Times New Roman" w:hAnsi="Times New Roman"/>
          <w:sz w:val="14"/>
          <w:szCs w:val="14"/>
          <w:color w:val="auto"/>
        </w:rPr>
        <w:t xml:space="preserve"> included in Part II - Item 7 of this Annual Report on Form 10-K regarding the top ten investment concentrations of our fixed maturity and equity securities including the fair value and percent of total fixed maturity and equity securities fair value as of December 31, 2025, and 2024.</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Financial and Capital Markets Risk Related to our F&amp;G Segment</w:t>
      </w:r>
    </w:p>
    <w:p>
      <w:pPr>
        <w:spacing w:after="0" w:line="74"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Our F&amp;G segment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twelve-month time period, certain of F&amp;G’s products may be exposed to disintermediation risk. Disintermediation risk refers to the risk that policyholders surrender their contracts in a rising interest rate environment, requiring F&amp;G to liquidate assets in an unrealized loss position. We attempt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We expect to continue to face these challenges and uncertainties that could adversely affect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 TO FINANCIAL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80" w:type="dxa"/>
            <w:vAlign w:val="bottom"/>
            <w:gridSpan w:val="12"/>
          </w:tcPr>
          <w:p>
            <w:pPr>
              <w:spacing w:after="0" w:line="138"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on Effectiveness of Internal Control over Financial Reporting (Ernst &amp; Young, LLP, Jacksonville, FL, Auditor Firm</w:t>
            </w:r>
          </w:p>
        </w:tc>
        <w:tc>
          <w:tcPr>
            <w:tcW w:w="5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0000FF"/>
                <w:w w:val="99"/>
              </w:rPr>
              <w:t>98</w:t>
            </w:r>
          </w:p>
        </w:tc>
        <w:tc>
          <w:tcPr>
            <w:tcW w:w="5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3"/>
          </w:tcPr>
          <w:p>
            <w:pPr>
              <w:spacing w:after="0" w:line="107" w:lineRule="exact"/>
              <w:rPr>
                <w:sz w:val="20"/>
                <w:szCs w:val="20"/>
                <w:color w:val="auto"/>
              </w:rPr>
            </w:pPr>
            <w:r>
              <w:rPr>
                <w:rFonts w:ascii="Times New Roman" w:cs="Times New Roman" w:eastAsia="Times New Roman" w:hAnsi="Times New Roman"/>
                <w:sz w:val="12"/>
                <w:szCs w:val="12"/>
                <w:color w:val="0000FF"/>
              </w:rPr>
              <w:t>ID</w:t>
            </w:r>
            <w:r>
              <w:rPr>
                <w:rFonts w:ascii="Times New Roman" w:cs="Times New Roman" w:eastAsia="Times New Roman" w:hAnsi="Times New Roman"/>
                <w:sz w:val="12"/>
                <w:szCs w:val="12"/>
                <w:color w:val="0E32E1"/>
              </w:rPr>
              <w:t>:42)</w:t>
            </w:r>
          </w:p>
        </w:tc>
        <w:tc>
          <w:tcPr>
            <w:tcW w:w="7420" w:type="dxa"/>
            <w:vAlign w:val="bottom"/>
            <w:tcBorders>
              <w:top w:val="single" w:sz="8" w:color="0000FF"/>
            </w:tcBorders>
            <w:gridSpan w:val="8"/>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top w:val="single" w:sz="8" w:color="auto"/>
            </w:tcBorders>
            <w:vMerge w:val="continue"/>
          </w:tcPr>
          <w:p>
            <w:pPr>
              <w:spacing w:after="0"/>
              <w:rPr>
                <w:sz w:val="10"/>
                <w:szCs w:val="10"/>
                <w:color w:val="auto"/>
              </w:rPr>
            </w:pPr>
          </w:p>
        </w:tc>
        <w:tc>
          <w:tcPr>
            <w:tcW w:w="140" w:type="dxa"/>
            <w:vAlign w:val="bottom"/>
            <w:tcBorders>
              <w:top w:val="single" w:sz="8" w:color="auto"/>
              <w:bottom w:val="single" w:sz="8" w:color="0000FF"/>
            </w:tcBorders>
            <w:vMerge w:val="continue"/>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 on Consolidated Financial Statements (Ernst &amp; Young, LLP, Jacksonville, FL, Auditor Firm ID</w:t>
            </w:r>
            <w:r>
              <w:rPr>
                <w:rFonts w:ascii="Times New Roman" w:cs="Times New Roman" w:eastAsia="Times New Roman" w:hAnsi="Times New Roman"/>
                <w:sz w:val="14"/>
                <w:szCs w:val="14"/>
                <w:color w:val="0E32E1"/>
              </w:rPr>
              <w:t>: 42)</w:t>
            </w:r>
          </w:p>
        </w:tc>
        <w:tc>
          <w:tcPr>
            <w:tcW w:w="640" w:type="dxa"/>
            <w:vAlign w:val="bottom"/>
            <w:gridSpan w:val="2"/>
          </w:tcPr>
          <w:p>
            <w:pPr>
              <w:jc w:val="center"/>
              <w:ind w:left="434"/>
              <w:spacing w:after="0"/>
              <w:rPr>
                <w:sz w:val="20"/>
                <w:szCs w:val="20"/>
                <w:color w:val="auto"/>
              </w:rPr>
            </w:pPr>
            <w:r>
              <w:rPr>
                <w:rFonts w:ascii="Times New Roman" w:cs="Times New Roman" w:eastAsia="Times New Roman" w:hAnsi="Times New Roman"/>
                <w:sz w:val="14"/>
                <w:szCs w:val="14"/>
                <w:color w:val="0000FF"/>
                <w:w w:val="99"/>
              </w:rPr>
              <w:t>99</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5080" w:type="dxa"/>
            <w:vAlign w:val="bottom"/>
            <w:gridSpan w:val="5"/>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85"/>
              </w:rPr>
              <w:t>101</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Earnings for the years ended December 31, 2025, 2024, and 2023</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E32E1"/>
              </w:rPr>
              <w:t>102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E32E1"/>
            </w:tcBorders>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500" w:type="dxa"/>
            <w:vAlign w:val="bottom"/>
            <w:tcBorders>
              <w:left w:val="single" w:sz="8" w:color="0E32E1"/>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Earnings for the years ended December 31, 2025, 2024, and 2023</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E32E1"/>
              </w:rPr>
              <w:t>103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1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Consolidated Statements of Equity for the years ended December 31, 2025, 2024, and 2023</w:t>
            </w:r>
          </w:p>
        </w:tc>
        <w:tc>
          <w:tcPr>
            <w:tcW w:w="1040" w:type="dxa"/>
            <w:vAlign w:val="bottom"/>
            <w:tcBorders>
              <w:top w:val="single" w:sz="8" w:color="0000FF"/>
            </w:tcBorders>
            <w:gridSpan w:val="3"/>
          </w:tcPr>
          <w:p>
            <w:pPr>
              <w:spacing w:after="0"/>
              <w:rPr>
                <w:sz w:val="13"/>
                <w:szCs w:val="13"/>
                <w:color w:val="auto"/>
              </w:rPr>
            </w:pPr>
          </w:p>
        </w:tc>
        <w:tc>
          <w:tcPr>
            <w:tcW w:w="3860" w:type="dxa"/>
            <w:vAlign w:val="bottom"/>
            <w:gridSpan w:val="4"/>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0E32E1"/>
              <w:bottom w:val="single" w:sz="8" w:color="0E32E1"/>
            </w:tcBorders>
          </w:tcPr>
          <w:p>
            <w:pPr>
              <w:jc w:val="center"/>
              <w:spacing w:after="0"/>
              <w:rPr>
                <w:sz w:val="20"/>
                <w:szCs w:val="20"/>
                <w:color w:val="auto"/>
              </w:rPr>
            </w:pPr>
            <w:r>
              <w:rPr>
                <w:rFonts w:ascii="Times New Roman" w:cs="Times New Roman" w:eastAsia="Times New Roman" w:hAnsi="Times New Roman"/>
                <w:sz w:val="14"/>
                <w:szCs w:val="14"/>
                <w:color w:val="0E32E1"/>
                <w:w w:val="85"/>
              </w:rPr>
              <w:t>104</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2024, and 2023</w:t>
            </w: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107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980" w:type="dxa"/>
            <w:vAlign w:val="bottom"/>
            <w:tcBorders>
              <w:top w:val="single" w:sz="8" w:color="0000FF"/>
            </w:tcBorders>
            <w:gridSpan w:val="4"/>
          </w:tcPr>
          <w:p>
            <w:pPr>
              <w:spacing w:after="0"/>
              <w:rPr>
                <w:sz w:val="13"/>
                <w:szCs w:val="13"/>
                <w:color w:val="auto"/>
              </w:rPr>
            </w:pPr>
          </w:p>
        </w:tc>
        <w:tc>
          <w:tcPr>
            <w:tcW w:w="4620" w:type="dxa"/>
            <w:vAlign w:val="bottom"/>
            <w:gridSpan w:val="5"/>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Borders>
              <w:top w:val="single" w:sz="8" w:color="0000FF"/>
              <w:bottom w:val="single" w:sz="8" w:color="0E32E1"/>
            </w:tcBorders>
          </w:tcPr>
          <w:p>
            <w:pPr>
              <w:jc w:val="center"/>
              <w:spacing w:after="0"/>
              <w:rPr>
                <w:sz w:val="20"/>
                <w:szCs w:val="20"/>
                <w:color w:val="auto"/>
              </w:rPr>
            </w:pPr>
            <w:r>
              <w:rPr>
                <w:rFonts w:ascii="Times New Roman" w:cs="Times New Roman" w:eastAsia="Times New Roman" w:hAnsi="Times New Roman"/>
                <w:sz w:val="14"/>
                <w:szCs w:val="14"/>
                <w:color w:val="0E32E1"/>
                <w:w w:val="85"/>
              </w:rPr>
              <w:t>109</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3"/>
        </w:trPr>
        <w:tc>
          <w:tcPr>
            <w:tcW w:w="6240" w:type="dxa"/>
            <w:vAlign w:val="bottom"/>
            <w:gridSpan w:val="9"/>
          </w:tcPr>
          <w:p>
            <w:pPr>
              <w:jc w:val="right"/>
              <w:ind w:right="520"/>
              <w:spacing w:after="0"/>
              <w:rPr>
                <w:sz w:val="20"/>
                <w:szCs w:val="20"/>
                <w:color w:val="auto"/>
              </w:rPr>
            </w:pPr>
            <w:r>
              <w:rPr>
                <w:rFonts w:ascii="Times New Roman" w:cs="Times New Roman" w:eastAsia="Times New Roman" w:hAnsi="Times New Roman"/>
                <w:sz w:val="14"/>
                <w:szCs w:val="14"/>
                <w:color w:val="auto"/>
              </w:rPr>
              <w:t>97</w:t>
            </w: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Fidelity National Financial,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audited Fidelity National Financial,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Fidelity National Financial, Inc. and subsidiaries (the Company) maintained, in all material respects, effective internal control over financial reporting as of December 31, 2025, based on the COSO criteria.</w:t>
      </w:r>
    </w:p>
    <w:p>
      <w:pPr>
        <w:spacing w:after="0" w:line="7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earnings, comprehensive earnings, equity and cash flows for each of the three years in the period ended December 31, 2025, and the related notes and financial statement schedules listed in the Index at Item 15(a)(2) and our report dated February 26, 2026 expressed an unqualified opinion thereon.</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Fidelity National Financial, Inc.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Fidelity National Financial, Inc. and subsidiaries (the Company) as of December 31, 2025 and 2024, the related consolidated statements of earnings, comprehensive earnings, equity and cash flows for each of the three years in the period ended December 31, 2025, and the related notes and financial statement schedules listed in the Index at Item 15(a)(2)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i w:val="1"/>
          <w:iCs w:val="1"/>
          <w:color w:val="auto"/>
        </w:rPr>
        <w:t>Fixed Indexed Annuity Embedded Derivative Liability, Market Risk Benefits, and Future Policy Benefits Liability</w:t>
      </w:r>
    </w:p>
    <w:p>
      <w:pPr>
        <w:spacing w:after="0" w:line="41" w:lineRule="exact"/>
        <w:rPr>
          <w:sz w:val="20"/>
          <w:szCs w:val="20"/>
          <w:color w:val="auto"/>
        </w:rPr>
      </w:pPr>
    </w:p>
    <w:p>
      <w:pPr>
        <w:jc w:val="both"/>
        <w:ind w:left="2580" w:hanging="2556"/>
        <w:spacing w:after="0" w:line="257" w:lineRule="auto"/>
        <w:tabs>
          <w:tab w:leader="none" w:pos="256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At December 31, 2025, the fair value of the Company’s fixed indexed annuity embedded derivative liability totaled $6.5 billion. Certain of the Company’s fixed indexed annuity (FIA) contracts allow the policyholder to elect an equity index linked feature, where amounts credited to the contract’s account value are linked to the performance of designated equity indices and crediting strategy selected by the policyholder. The equity index crediting feature is accounted for as an embedded derivative liability and reported at fair value as discussed in Notes A (see section on Contractholder Funds), C, and E to the consolidated financial statements. A subset of FIA contracts include certain contract features that provide minimum guarantees to policyholders, such as guaranteed minimum withdrawal benefits and guaranteed minimum death benefit features that are market risk benefits (MRB) measured at fair value as discussed in Notes A (see section on MRBs), C, and W to the consolidated financial statements. The Company’s MRB assets and MRB liabilities totaled $285 million and $903 million, respectively, as of December 31, 2025.</w:t>
      </w:r>
    </w:p>
    <w:p>
      <w:pPr>
        <w:spacing w:after="0" w:line="66" w:lineRule="exact"/>
        <w:rPr>
          <w:sz w:val="20"/>
          <w:szCs w:val="20"/>
          <w:color w:val="auto"/>
        </w:rPr>
      </w:pPr>
    </w:p>
    <w:p>
      <w:pPr>
        <w:jc w:val="both"/>
        <w:ind w:left="2580"/>
        <w:spacing w:after="0" w:line="258" w:lineRule="auto"/>
        <w:rPr>
          <w:sz w:val="20"/>
          <w:szCs w:val="20"/>
          <w:color w:val="auto"/>
        </w:rPr>
      </w:pPr>
      <w:r>
        <w:rPr>
          <w:rFonts w:ascii="Times New Roman" w:cs="Times New Roman" w:eastAsia="Times New Roman" w:hAnsi="Times New Roman"/>
          <w:sz w:val="14"/>
          <w:szCs w:val="14"/>
          <w:color w:val="auto"/>
        </w:rPr>
        <w:t>At December 31, 2025, future policy benefits (FPB) liabilities related to traditional life and life-contingent immediate annuity policies (which includes life-contingent pension risk transfer annuities) totaled $10.8 billion. The future policy benefits liability related to these products is based on estimates of how much the Company will need to pay for future benefits and related claim expenses and the amount of net premiums to be collected from policyholders as discussed in Notes A (see section on Future Policy Benefits) and Y to the consolidated financial statements.</w:t>
      </w:r>
    </w:p>
    <w:p>
      <w:pPr>
        <w:spacing w:after="0" w:line="1" w:lineRule="exact"/>
        <w:rPr>
          <w:sz w:val="20"/>
          <w:szCs w:val="20"/>
          <w:color w:val="auto"/>
        </w:rPr>
      </w:pPr>
    </w:p>
    <w:p>
      <w:pPr>
        <w:jc w:val="both"/>
        <w:ind w:left="2580"/>
        <w:spacing w:after="0" w:line="255" w:lineRule="auto"/>
        <w:rPr>
          <w:sz w:val="20"/>
          <w:szCs w:val="20"/>
          <w:color w:val="auto"/>
        </w:rPr>
      </w:pPr>
      <w:r>
        <w:rPr>
          <w:rFonts w:ascii="Times New Roman" w:cs="Times New Roman" w:eastAsia="Times New Roman" w:hAnsi="Times New Roman"/>
          <w:sz w:val="14"/>
          <w:szCs w:val="14"/>
          <w:color w:val="auto"/>
        </w:rPr>
        <w:t>Auditing the valuation of the Company’s fixed indexed annuity embedded derivative, MRBs, and life-contingent immediate annuity policies liabilities was complex because of the highly judgmental nature of the determination of the assumptions required to determine the fair value of the embedded derivative and MRBs and valuation of life-contingent immediate annuity policies liabilities. In particular, the fair value of fixed indexed annuity embedded derivative and MRBs was sensitive to the significant assumptions including surrender rates, GMWB utilization, partial withdrawal, and option cost. In addition, mortality and capital market performance scenarios were significant assumptions used in the valuation of MRBs. Mortality is a significant assumption used in the valuation of life-contingent immediate annuity policies liabilities.</w:t>
      </w:r>
    </w:p>
    <w:p>
      <w:pPr>
        <w:sectPr>
          <w:pgSz w:w="11900" w:h="16838" w:orient="portrait"/>
          <w:cols w:equalWidth="0" w:num="1">
            <w:col w:w="11260"/>
          </w:cols>
          <w:pgMar w:left="30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How we Addressed the</w:t>
      </w:r>
    </w:p>
    <w:p>
      <w:pPr>
        <w:ind w:left="20"/>
        <w:spacing w:after="0"/>
        <w:rPr>
          <w:sz w:val="20"/>
          <w:szCs w:val="20"/>
          <w:color w:val="auto"/>
        </w:rPr>
      </w:pPr>
      <w:r>
        <w:rPr>
          <w:rFonts w:ascii="Times New Roman" w:cs="Times New Roman" w:eastAsia="Times New Roman" w:hAnsi="Times New Roman"/>
          <w:sz w:val="14"/>
          <w:szCs w:val="14"/>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obtained an understanding, evaluated the design, and tested the operating effectiveness of the Company’s controls over management’s process for the development of the significant assumptions used in measuring the fair value of the embedded derivative for fixed indexed annuities and MRBs and the valuation of life-contingent immediate annuity policies. These controls included, among others, the review and approval process management has in place for the development of the significant assumptions.</w:t>
      </w:r>
    </w:p>
    <w:p>
      <w:pPr>
        <w:spacing w:after="0" w:line="51" w:lineRule="exact"/>
        <w:rPr>
          <w:sz w:val="20"/>
          <w:szCs w:val="20"/>
          <w:color w:val="auto"/>
        </w:rPr>
      </w:pPr>
    </w:p>
    <w:p>
      <w:pPr>
        <w:sectPr>
          <w:pgSz w:w="11900" w:h="16838" w:orient="portrait"/>
          <w:cols w:equalWidth="0" w:num="2">
            <w:col w:w="1860" w:space="720"/>
            <w:col w:w="8680"/>
          </w:cols>
          <w:pgMar w:left="300" w:top="125" w:right="339" w:bottom="1440" w:gutter="0" w:footer="0" w:header="0"/>
          <w:type w:val="continuous"/>
        </w:sectPr>
      </w:pPr>
    </w:p>
    <w:p>
      <w:pPr>
        <w:jc w:val="both"/>
        <w:ind w:left="2580"/>
        <w:spacing w:after="0" w:line="233" w:lineRule="auto"/>
        <w:rPr>
          <w:sz w:val="20"/>
          <w:szCs w:val="20"/>
          <w:color w:val="auto"/>
        </w:rPr>
      </w:pPr>
      <w:r>
        <w:rPr>
          <w:rFonts w:ascii="Times New Roman" w:cs="Times New Roman" w:eastAsia="Times New Roman" w:hAnsi="Times New Roman"/>
          <w:sz w:val="14"/>
          <w:szCs w:val="14"/>
          <w:color w:val="auto"/>
        </w:rPr>
        <w:t>To evaluate the judgment used by management in determining the assumptions used in measuring the fair value of the fixed indexed annuity embedded derivative and MRBs and the valuation of life-contingent immediate annuity policies liabilities, among other procedures, we involved actuarial specialists and evaluated the methodology applied by management in determining the valuation with those used in the prior period and in the industry. To evaluate the significant assumptions used by management in the methodology applied, we compared as applicable, the significant assumptions noted above to historical experience, observable market data, and management’s estimates of prospective changes in these assumptions. We also performed an independent recalculation of the embedded derivative, MRB, and life-contingent immediate annuity policies liabilities for a sample of policies or cohorts for comparison with the actuarial models used by management.</w:t>
      </w:r>
    </w:p>
    <w:p>
      <w:pPr>
        <w:sectPr>
          <w:pgSz w:w="11900" w:h="16838" w:orient="portrait"/>
          <w:cols w:equalWidth="0" w:num="1">
            <w:col w:w="11260"/>
          </w:cols>
          <w:pgMar w:left="30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2017.</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(In 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80" w:type="dxa"/>
            <w:vAlign w:val="bottom"/>
          </w:tcPr>
          <w:p>
            <w:pPr>
              <w:spacing w:after="0"/>
              <w:rPr>
                <w:sz w:val="11"/>
                <w:szCs w:val="11"/>
                <w:color w:val="auto"/>
              </w:rPr>
            </w:pPr>
          </w:p>
        </w:tc>
        <w:tc>
          <w:tcPr>
            <w:tcW w:w="106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4"/>
        </w:trPr>
        <w:tc>
          <w:tcPr>
            <w:tcW w:w="8660" w:type="dxa"/>
            <w:vAlign w:val="bottom"/>
            <w:shd w:val="clear" w:color="auto" w:fill="CCEEFF"/>
          </w:tcPr>
          <w:p>
            <w:pPr>
              <w:ind w:left="544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8660" w:type="dxa"/>
            <w:vAlign w:val="bottom"/>
            <w:shd w:val="clear" w:color="auto" w:fill="CCEEFF"/>
          </w:tcPr>
          <w:p>
            <w:pPr>
              <w:ind w:left="180"/>
              <w:spacing w:after="0" w:line="113" w:lineRule="exact"/>
              <w:rPr>
                <w:sz w:val="20"/>
                <w:szCs w:val="20"/>
                <w:color w:val="auto"/>
              </w:rPr>
            </w:pPr>
            <w:r>
              <w:rPr>
                <w:rFonts w:ascii="Times New Roman" w:cs="Times New Roman" w:eastAsia="Times New Roman" w:hAnsi="Times New Roman"/>
                <w:sz w:val="11"/>
                <w:szCs w:val="11"/>
                <w:color w:val="auto"/>
              </w:rPr>
              <w:t>Fixed maturity securities available for sale, at fair value, as of December 31, 2025 and 2024, at an amortized cost of $57,161 and $51,681, respectively, net of allowance for credit losses</w:t>
            </w:r>
          </w:p>
        </w:tc>
        <w:tc>
          <w:tcPr>
            <w:tcW w:w="20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54,561</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48,218</w:t>
            </w:r>
          </w:p>
        </w:tc>
        <w:tc>
          <w:tcPr>
            <w:tcW w:w="0" w:type="dxa"/>
            <w:vAlign w:val="bottom"/>
          </w:tcPr>
          <w:p>
            <w:pPr>
              <w:spacing w:after="0"/>
              <w:rPr>
                <w:sz w:val="1"/>
                <w:szCs w:val="1"/>
                <w:color w:val="auto"/>
              </w:rPr>
            </w:pPr>
          </w:p>
        </w:tc>
      </w:tr>
      <w:tr>
        <w:trPr>
          <w:trHeight w:val="159"/>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of $112 and $67, respectively, and includes pledged fixed maturity securities of $446 and $495, respectively, related to secured trust deposits</w:t>
            </w:r>
          </w:p>
        </w:tc>
        <w:tc>
          <w:tcPr>
            <w:tcW w:w="200" w:type="dxa"/>
            <w:vAlign w:val="bottom"/>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Preferred securities, at fair value</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securities, at fair value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Derivative investments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1,156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Mortgage loans, net of allowance for credit losses of $86 and $70 as of December 31, 2025 and 2024, respectively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5,926</w:t>
            </w:r>
          </w:p>
        </w:tc>
        <w:tc>
          <w:tcPr>
            <w:tcW w:w="0" w:type="dxa"/>
            <w:vAlign w:val="bottom"/>
          </w:tcPr>
          <w:p>
            <w:pPr>
              <w:spacing w:after="0"/>
              <w:rPr>
                <w:sz w:val="1"/>
                <w:szCs w:val="1"/>
                <w:color w:val="auto"/>
              </w:rPr>
            </w:pPr>
          </w:p>
        </w:tc>
      </w:tr>
      <w:tr>
        <w:trPr>
          <w:trHeight w:val="106"/>
        </w:trPr>
        <w:tc>
          <w:tcPr>
            <w:tcW w:w="86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Investments in unconsolidated affiliates (2025 includes $262 related to investments held by consolidated variable interest entities (“VIEs”) and 2025 and 2024 include certain investments</w:t>
            </w:r>
          </w:p>
        </w:tc>
        <w:tc>
          <w:tcPr>
            <w:tcW w:w="200" w:type="dxa"/>
            <w:vAlign w:val="bottom"/>
          </w:tcPr>
          <w:p>
            <w:pPr>
              <w:spacing w:after="0"/>
              <w:rPr>
                <w:sz w:val="9"/>
                <w:szCs w:val="9"/>
                <w:color w:val="auto"/>
              </w:rPr>
            </w:pPr>
          </w:p>
        </w:tc>
        <w:tc>
          <w:tcPr>
            <w:tcW w:w="10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5,166</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3,731</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at fair value of $270 and $272, respectively)</w:t>
            </w:r>
          </w:p>
        </w:tc>
        <w:tc>
          <w:tcPr>
            <w:tcW w:w="2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long-term investments (2025 includes $248 related to investments held by consolidated VIEs)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Short-term investments (2025 includes $116 related to investments held by consolidated VIEs)</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1,920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3,050</w:t>
            </w:r>
          </w:p>
        </w:tc>
        <w:tc>
          <w:tcPr>
            <w:tcW w:w="0" w:type="dxa"/>
            <w:vAlign w:val="bottom"/>
          </w:tcPr>
          <w:p>
            <w:pPr>
              <w:spacing w:after="0"/>
              <w:rPr>
                <w:sz w:val="1"/>
                <w:szCs w:val="1"/>
                <w:color w:val="auto"/>
              </w:rPr>
            </w:pPr>
          </w:p>
        </w:tc>
      </w:tr>
      <w:tr>
        <w:trPr>
          <w:trHeight w:val="156"/>
        </w:trPr>
        <w:tc>
          <w:tcPr>
            <w:tcW w:w="8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investments</w:t>
            </w: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73,195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63,615</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as of December 31, 2025 and 2024 includes $261 and $69, respectively, of pledged cash related to secured trust deposits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 of $31 and $32 as of December 31, 2025 and 2024, respectively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Reinsurance recoverable, net of allowance for credit losses of $18 and $20 at December 31, 2025 and 2024, respectively</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17,551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13,380</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5,272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5,271</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1,938</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assets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Lease assets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intangible assets, net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5,976</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Title plants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0" w:type="dxa"/>
            <w:vAlign w:val="bottom"/>
          </w:tcPr>
          <w:p>
            <w:pPr>
              <w:spacing w:after="0"/>
              <w:rPr>
                <w:sz w:val="1"/>
                <w:szCs w:val="1"/>
                <w:color w:val="auto"/>
              </w:rPr>
            </w:pPr>
          </w:p>
        </w:tc>
      </w:tr>
      <w:tr>
        <w:trPr>
          <w:trHeight w:val="159"/>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56"/>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109,014</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95,263</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660" w:type="dxa"/>
            <w:vAlign w:val="bottom"/>
            <w:shd w:val="clear" w:color="auto" w:fill="CCEEFF"/>
          </w:tcPr>
          <w:p>
            <w:pPr>
              <w:ind w:left="49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2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62,726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56,404</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Future policy benefits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10,755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3,249</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4,321</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Reserve for title claim losses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withheld for reinsurance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14,191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10,758</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Secured trust deposits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0" w:type="dxa"/>
            <w:vAlign w:val="bottom"/>
          </w:tcPr>
          <w:p>
            <w:pPr>
              <w:spacing w:after="0"/>
              <w:rPr>
                <w:sz w:val="1"/>
                <w:szCs w:val="1"/>
                <w:color w:val="auto"/>
              </w:rPr>
            </w:pPr>
          </w:p>
        </w:tc>
      </w:tr>
      <w:tr>
        <w:trPr>
          <w:trHeight w:val="153"/>
        </w:trPr>
        <w:tc>
          <w:tcPr>
            <w:tcW w:w="8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 payable</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liabilities</w:t>
            </w:r>
          </w:p>
        </w:tc>
        <w:tc>
          <w:tcPr>
            <w:tcW w:w="2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86,731</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66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FNF common stock, $0.0001 par value; authorized 600 shares as of December 31, 2025 and 2024, respectively; outstanding of 271 and 275 as of December 31, 2025 and 2024,</w:t>
            </w:r>
          </w:p>
        </w:tc>
        <w:tc>
          <w:tcPr>
            <w:tcW w:w="200" w:type="dxa"/>
            <w:vAlign w:val="bottom"/>
          </w:tcPr>
          <w:p>
            <w:pPr>
              <w:spacing w:after="0"/>
              <w:rPr>
                <w:sz w:val="9"/>
                <w:szCs w:val="9"/>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respectively, and issued of 332 and 331 as of December 31, 2025 and 2024, respectively</w:t>
            </w:r>
          </w:p>
        </w:tc>
        <w:tc>
          <w:tcPr>
            <w:tcW w:w="2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Preferred stock, $0.0001 par value; authorized 50 shares; issued and outstanding, none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6,042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5,976</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Retained earnings</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5,982</w:t>
            </w:r>
          </w:p>
        </w:tc>
        <w:tc>
          <w:tcPr>
            <w:tcW w:w="0" w:type="dxa"/>
            <w:vAlign w:val="bottom"/>
          </w:tcPr>
          <w:p>
            <w:pPr>
              <w:spacing w:after="0"/>
              <w:rPr>
                <w:sz w:val="1"/>
                <w:szCs w:val="1"/>
                <w:color w:val="auto"/>
              </w:rPr>
            </w:pPr>
          </w:p>
        </w:tc>
      </w:tr>
      <w:tr>
        <w:trPr>
          <w:trHeight w:val="153"/>
        </w:trPr>
        <w:tc>
          <w:tcPr>
            <w:tcW w:w="8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Accumulated other comprehensive earnings</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(2,052)</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Less: Treasury stock, 61 and 56 shares as of December 31, 2025 and 2024, at cost</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0" w:type="dxa"/>
            <w:vAlign w:val="bottom"/>
          </w:tcPr>
          <w:p>
            <w:pPr>
              <w:spacing w:after="0"/>
              <w:rPr>
                <w:sz w:val="1"/>
                <w:szCs w:val="1"/>
                <w:color w:val="auto"/>
              </w:rPr>
            </w:pPr>
          </w:p>
        </w:tc>
      </w:tr>
      <w:tr>
        <w:trPr>
          <w:trHeight w:val="144"/>
        </w:trPr>
        <w:tc>
          <w:tcPr>
            <w:tcW w:w="866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Total Fidelity National Financial, Inc. shareholders’ equity</w:t>
            </w:r>
          </w:p>
        </w:tc>
        <w:tc>
          <w:tcPr>
            <w:tcW w:w="2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7,754</w:t>
            </w:r>
          </w:p>
        </w:tc>
        <w:tc>
          <w:tcPr>
            <w:tcW w:w="0" w:type="dxa"/>
            <w:vAlign w:val="bottom"/>
          </w:tcPr>
          <w:p>
            <w:pPr>
              <w:spacing w:after="0"/>
              <w:rPr>
                <w:sz w:val="1"/>
                <w:szCs w:val="1"/>
                <w:color w:val="auto"/>
              </w:rPr>
            </w:pPr>
          </w:p>
        </w:tc>
      </w:tr>
      <w:tr>
        <w:trPr>
          <w:trHeight w:val="165"/>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interests</w:t>
            </w: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0" w:type="dxa"/>
            <w:vAlign w:val="bottom"/>
          </w:tcPr>
          <w:p>
            <w:pPr>
              <w:spacing w:after="0"/>
              <w:rPr>
                <w:sz w:val="1"/>
                <w:szCs w:val="1"/>
                <w:color w:val="auto"/>
              </w:rPr>
            </w:pPr>
          </w:p>
        </w:tc>
      </w:tr>
      <w:tr>
        <w:trPr>
          <w:trHeight w:val="144"/>
        </w:trPr>
        <w:tc>
          <w:tcPr>
            <w:tcW w:w="86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Total equity</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8,972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8,532</w:t>
            </w:r>
          </w:p>
        </w:tc>
        <w:tc>
          <w:tcPr>
            <w:tcW w:w="0" w:type="dxa"/>
            <w:vAlign w:val="bottom"/>
          </w:tcPr>
          <w:p>
            <w:pPr>
              <w:spacing w:after="0"/>
              <w:rPr>
                <w:sz w:val="1"/>
                <w:szCs w:val="1"/>
                <w:color w:val="auto"/>
              </w:rPr>
            </w:pPr>
          </w:p>
        </w:tc>
      </w:tr>
      <w:tr>
        <w:trPr>
          <w:trHeight w:val="181"/>
        </w:trPr>
        <w:tc>
          <w:tcPr>
            <w:tcW w:w="86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109,014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95,263</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millions, except per share data)</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60" w:type="dxa"/>
            <w:vAlign w:val="bottom"/>
            <w:tcBorders>
              <w:bottom w:val="single" w:sz="8" w:color="auto"/>
            </w:tcBorders>
          </w:tcPr>
          <w:p>
            <w:pPr>
              <w:spacing w:after="0"/>
              <w:rPr>
                <w:sz w:val="13"/>
                <w:szCs w:val="13"/>
                <w:color w:val="auto"/>
              </w:rPr>
            </w:pPr>
          </w:p>
        </w:tc>
      </w:tr>
      <w:tr>
        <w:trPr>
          <w:trHeight w:val="154"/>
        </w:trPr>
        <w:tc>
          <w:tcPr>
            <w:tcW w:w="8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2,200</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4,717</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2,607</w:t>
            </w:r>
          </w:p>
        </w:tc>
      </w:tr>
      <w:tr>
        <w:trPr>
          <w:trHeight w:val="153"/>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r>
      <w:tr>
        <w:trPr>
          <w:trHeight w:val="15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13,681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11,752</w:t>
            </w:r>
          </w:p>
        </w:tc>
      </w:tr>
      <w:tr>
        <w:trPr>
          <w:trHeight w:val="154"/>
        </w:trPr>
        <w:tc>
          <w:tcPr>
            <w:tcW w:w="84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64"/>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Personnel costs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3,148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2,908</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Agent commissions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2,287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operating expenses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3,553</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Market risk benefit (gains) losses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r>
      <w:tr>
        <w:trPr>
          <w:trHeight w:val="153"/>
        </w:trPr>
        <w:tc>
          <w:tcPr>
            <w:tcW w:w="84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593</w:t>
            </w:r>
          </w:p>
        </w:tc>
      </w:tr>
      <w:tr>
        <w:trPr>
          <w:trHeight w:val="165"/>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r>
      <w:tr>
        <w:trPr>
          <w:trHeight w:val="153"/>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174</w:t>
            </w:r>
          </w:p>
        </w:tc>
      </w:tr>
      <w:tr>
        <w:trPr>
          <w:trHeight w:val="156"/>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expenses</w:t>
            </w: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13,048</w:t>
            </w:r>
          </w:p>
        </w:tc>
        <w:tc>
          <w:tcPr>
            <w:tcW w:w="10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11,939</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11,059</w:t>
            </w:r>
          </w:p>
        </w:tc>
      </w:tr>
      <w:tr>
        <w:trPr>
          <w:trHeight w:val="144"/>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Earnings before income taxes and equity in earnings of unconsolidated affiliates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693</w:t>
            </w:r>
          </w:p>
        </w:tc>
      </w:tr>
      <w:tr>
        <w:trPr>
          <w:trHeight w:val="16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tax expense</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r>
      <w:tr>
        <w:trPr>
          <w:trHeight w:val="144"/>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Earnings before equity in earnings of unconsolidated affiliates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501</w:t>
            </w:r>
          </w:p>
        </w:tc>
      </w:tr>
      <w:tr>
        <w:trPr>
          <w:trHeight w:val="16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r>
      <w:tr>
        <w:trPr>
          <w:trHeight w:val="144"/>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Net earnings</w:t>
            </w: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518</w:t>
            </w:r>
          </w:p>
        </w:tc>
      </w:tr>
      <w:tr>
        <w:trPr>
          <w:trHeight w:val="165"/>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Net earnings attributable to non-controlling interests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r>
      <w:tr>
        <w:trPr>
          <w:trHeight w:val="129"/>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1,270</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20"/>
        </w:trPr>
        <w:tc>
          <w:tcPr>
            <w:tcW w:w="84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Earnings per share</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38"/>
        </w:trPr>
        <w:tc>
          <w:tcPr>
            <w:tcW w:w="8460" w:type="dxa"/>
            <w:vAlign w:val="bottom"/>
          </w:tcPr>
          <w:p>
            <w:pPr>
              <w:spacing w:after="0"/>
              <w:rPr>
                <w:sz w:val="20"/>
                <w:szCs w:val="20"/>
                <w:color w:val="auto"/>
              </w:rPr>
            </w:pPr>
            <w:r>
              <w:rPr>
                <w:rFonts w:ascii="Times New Roman" w:cs="Times New Roman" w:eastAsia="Times New Roman" w:hAnsi="Times New Roman"/>
                <w:sz w:val="11"/>
                <w:szCs w:val="11"/>
                <w:color w:val="auto"/>
              </w:rPr>
              <w:t>Net earnings per share attributable to FNF common shareholders, basic</w:t>
            </w: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1"/>
                <w:szCs w:val="11"/>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7"/>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earnings per share attributable to FNF common shareholders, diluted</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4.65</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8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84"/>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shares outstanding FNF common stock, basic basis</w:t>
            </w: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84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Weighted average shares outstanding FNF common stock, diluted basis</w:t>
            </w: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271</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6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1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w:t>
            </w:r>
          </w:p>
        </w:tc>
        <w:tc>
          <w:tcPr>
            <w:tcW w:w="0" w:type="dxa"/>
            <w:vAlign w:val="bottom"/>
          </w:tcPr>
          <w:p>
            <w:pPr>
              <w:spacing w:after="0"/>
              <w:rPr>
                <w:sz w:val="1"/>
                <w:szCs w:val="1"/>
                <w:color w:val="auto"/>
              </w:rPr>
            </w:pPr>
          </w:p>
        </w:tc>
      </w:tr>
      <w:tr>
        <w:trPr>
          <w:trHeight w:val="153"/>
        </w:trPr>
        <w:tc>
          <w:tcPr>
            <w:tcW w:w="81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160" w:type="dxa"/>
            <w:vAlign w:val="bottom"/>
            <w:shd w:val="clear" w:color="auto" w:fill="CCEEFF"/>
          </w:tcPr>
          <w:p>
            <w:pPr>
              <w:ind w:left="180"/>
              <w:spacing w:after="0" w:line="116" w:lineRule="exact"/>
              <w:rPr>
                <w:sz w:val="20"/>
                <w:szCs w:val="20"/>
                <w:color w:val="auto"/>
              </w:rPr>
            </w:pPr>
            <w:r>
              <w:rPr>
                <w:rFonts w:ascii="Times New Roman" w:cs="Times New Roman" w:eastAsia="Times New Roman" w:hAnsi="Times New Roman"/>
                <w:sz w:val="11"/>
                <w:szCs w:val="11"/>
                <w:color w:val="auto"/>
              </w:rPr>
              <w:t>Unrealized gain (loss) on investments and other financial instruments, net of adjustments to intangible assets and unearned revenue (excluding investments in unconsolidated</w:t>
            </w:r>
          </w:p>
        </w:tc>
        <w:tc>
          <w:tcPr>
            <w:tcW w:w="6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0" w:type="dxa"/>
            <w:vAlign w:val="bottom"/>
          </w:tcPr>
          <w:p>
            <w:pPr>
              <w:spacing w:after="0"/>
              <w:rPr>
                <w:sz w:val="1"/>
                <w:szCs w:val="1"/>
                <w:color w:val="auto"/>
              </w:rPr>
            </w:pPr>
          </w:p>
        </w:tc>
      </w:tr>
      <w:tr>
        <w:trPr>
          <w:trHeight w:val="15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affiliates) (1)</w:t>
            </w:r>
          </w:p>
        </w:tc>
        <w:tc>
          <w:tcPr>
            <w:tcW w:w="640" w:type="dxa"/>
            <w:vAlign w:val="bottom"/>
            <w:shd w:val="clear" w:color="auto" w:fill="CCEEFF"/>
          </w:tcPr>
          <w:p>
            <w:pPr>
              <w:spacing w:after="0"/>
              <w:rPr>
                <w:sz w:val="13"/>
                <w:szCs w:val="13"/>
                <w:color w:val="auto"/>
              </w:rPr>
            </w:pPr>
          </w:p>
        </w:tc>
        <w:tc>
          <w:tcPr>
            <w:tcW w:w="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Unrealized gain on investments in unconsolidated affiliates (2)</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Unrealized gain (loss) on foreign currency translation (3)</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 for unrealized gains and losses included in net earnings (4)</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current discount rate - future policy benefits (5)</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Changes in instrument-specific credit risk - market risk benefits (6)</w:t>
            </w:r>
          </w:p>
        </w:tc>
        <w:tc>
          <w:tcPr>
            <w:tcW w:w="6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comprehensive loss attributable to non-controlling interest (7)</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153"/>
        </w:trPr>
        <w:tc>
          <w:tcPr>
            <w:tcW w:w="81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Minimum pension liability adjustment</w:t>
            </w:r>
          </w:p>
        </w:tc>
        <w:tc>
          <w:tcPr>
            <w:tcW w:w="64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Tax effects of F&amp;G Distribution</w:t>
            </w:r>
          </w:p>
        </w:tc>
        <w:tc>
          <w:tcPr>
            <w:tcW w:w="6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64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0" w:type="dxa"/>
            <w:vAlign w:val="bottom"/>
          </w:tcPr>
          <w:p>
            <w:pPr>
              <w:spacing w:after="0"/>
              <w:rPr>
                <w:sz w:val="1"/>
                <w:szCs w:val="1"/>
                <w:color w:val="auto"/>
              </w:rPr>
            </w:pPr>
          </w:p>
        </w:tc>
      </w:tr>
      <w:tr>
        <w:trPr>
          <w:trHeight w:val="1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earnings</w:t>
            </w:r>
          </w:p>
        </w:tc>
        <w:tc>
          <w:tcPr>
            <w:tcW w:w="64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1,269</w:t>
            </w:r>
          </w:p>
        </w:tc>
        <w:tc>
          <w:tcPr>
            <w:tcW w:w="0" w:type="dxa"/>
            <w:vAlign w:val="bottom"/>
          </w:tcPr>
          <w:p>
            <w:pPr>
              <w:spacing w:after="0"/>
              <w:rPr>
                <w:sz w:val="1"/>
                <w:szCs w:val="1"/>
                <w:color w:val="auto"/>
              </w:rPr>
            </w:pPr>
          </w:p>
        </w:tc>
      </w:tr>
      <w:tr>
        <w:trPr>
          <w:trHeight w:val="153"/>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Comprehensive earnings attributable to non-controlling interests</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Comprehensive earnings attributable to Fidelity National Financial, Inc. common shareholders</w:t>
            </w:r>
          </w:p>
        </w:tc>
        <w:tc>
          <w:tcPr>
            <w:tcW w:w="64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$171 million, $(43) million, and $238 million for the years ended December 31, 2025, 2024, and 2023,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of $2 million, $9 million, and $3 million for the years ended December 31, 2025, 2024, and 2023,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expense (benefit) of $4 million and $(6) million, and $2 million for the years ended December 31, 2025 and 2024, and 2023,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$(13) million, $(1) million, and $34 million for the years ended December 31, 2025, 2024, and 2023,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$(62) million, $59 million, and $(50) million for the years ended December 31, 2025, 2024, and 2023,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expense of $(6) million, $1 million, and $(9) million for the years ended December 31, 2025, 2024, and 2023, respectively.</w:t>
      </w:r>
    </w:p>
    <w:p>
      <w:pPr>
        <w:spacing w:after="0" w:line="136" w:lineRule="exact"/>
        <w:rPr>
          <w:rFonts w:ascii="Times New Roman" w:cs="Times New Roman" w:eastAsia="Times New Roman" w:hAnsi="Times New Roman"/>
          <w:sz w:val="14"/>
          <w:szCs w:val="14"/>
          <w:color w:val="auto"/>
        </w:rPr>
      </w:pPr>
    </w:p>
    <w:p>
      <w:pPr>
        <w:ind w:left="760" w:hanging="755"/>
        <w:spacing w:after="0"/>
        <w:tabs>
          <w:tab w:leader="none" w:pos="7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income tax benefit of $18 million, $3 million, and $35 million for the years ended December 31, 2025, and 2024, and 2023, respectively.</w:t>
      </w:r>
    </w:p>
    <w:p>
      <w:pPr>
        <w:spacing w:after="0" w:line="200" w:lineRule="exact"/>
        <w:rPr>
          <w:sz w:val="20"/>
          <w:szCs w:val="20"/>
          <w:color w:val="auto"/>
        </w:rPr>
      </w:pPr>
    </w:p>
    <w:p>
      <w:pPr>
        <w:spacing w:after="0" w:line="25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2023</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328</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5,870</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5,225</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(2,870)</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(2,109)</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453</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6,569</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and other</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961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961</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44"/>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unrealized loss on foreign currency translation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minimum pension liability adjustment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included in net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126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Dilution from share issuance by consolidated subsidiary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(498)</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current discount rate — liability for future policy benefits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Change in instrument-specific credit risk - market risk benefits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F&amp;G purchases of treasury stock</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r>
      <w:tr>
        <w:trPr>
          <w:trHeight w:val="1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w:t>
            </w: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518</w:t>
            </w:r>
          </w:p>
        </w:tc>
      </w:tr>
      <w:tr>
        <w:trPr>
          <w:trHeight w:val="129"/>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Balance, December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3"/>
              </w:rPr>
              <w:t>329</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5,913</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5,244</w:t>
            </w:r>
          </w:p>
        </w:tc>
        <w:tc>
          <w:tcPr>
            <w:tcW w:w="100" w:type="dxa"/>
            <w:vAlign w:val="bottom"/>
          </w:tcPr>
          <w:p>
            <w:pPr>
              <w:spacing w:after="0"/>
              <w:rPr>
                <w:sz w:val="11"/>
                <w:szCs w:val="11"/>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(2,119)</w:t>
            </w:r>
          </w:p>
        </w:tc>
        <w:tc>
          <w:tcPr>
            <w:tcW w:w="10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(2,130)</w:t>
            </w:r>
          </w:p>
        </w:tc>
        <w:tc>
          <w:tcPr>
            <w:tcW w:w="10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7,460</w:t>
            </w:r>
          </w:p>
        </w:tc>
      </w:tr>
      <w:tr>
        <w:trPr>
          <w:trHeight w:val="20"/>
        </w:trPr>
        <w:tc>
          <w:tcPr>
            <w:tcW w:w="3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(CONTINUED)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32"/>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January 1, 2024</w:t>
            </w:r>
          </w:p>
        </w:tc>
        <w:tc>
          <w:tcPr>
            <w:tcW w:w="5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3"/>
              </w:rPr>
              <w:t>329</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5,913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5,244</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(2,119)</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(2,130)</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552</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7,460</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Non-controlling interest associated with current period acquisitions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loss on investments and other</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(157)</w:t>
            </w:r>
          </w:p>
        </w:tc>
      </w:tr>
      <w:tr>
        <w:trPr>
          <w:trHeight w:val="102"/>
        </w:trPr>
        <w:tc>
          <w:tcPr>
            <w:tcW w:w="3820" w:type="dxa"/>
            <w:vAlign w:val="bottom"/>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unrealized loss on foreign currency translation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included in net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Dilution from share issuance by consolidated subsidiary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(532)</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current discount rate — liability for future policy benefits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224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Change in instrument-specific credit risk - market risk benefits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w:t>
            </w:r>
          </w:p>
        </w:tc>
      </w:tr>
      <w:tr>
        <w:trPr>
          <w:trHeight w:val="133"/>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1,270</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1,391</w:t>
            </w:r>
          </w:p>
        </w:tc>
      </w:tr>
      <w:tr>
        <w:trPr>
          <w:trHeight w:val="15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3"/>
              </w:rPr>
              <w:t>331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5,976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5,982</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8,532</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14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0"/>
                <w:szCs w:val="10"/>
                <w:b w:val="1"/>
                <w:bCs w:val="1"/>
                <w:color w:val="auto"/>
              </w:rPr>
              <w:t>Fidelity National Financial, Inc. Common Shareholders</w:t>
            </w: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gridSpan w:val="2"/>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FNF</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960" w:type="dxa"/>
            <w:vAlign w:val="bottom"/>
            <w:gridSpan w:val="3"/>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Non-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3"/>
          </w:tcPr>
          <w:p>
            <w:pPr>
              <w:jc w:val="center"/>
              <w:ind w:right="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16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Earnings</w:t>
            </w:r>
          </w:p>
        </w:tc>
        <w:tc>
          <w:tcPr>
            <w:tcW w:w="9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8"/>
              </w:rPr>
              <w:t>controlling</w:t>
            </w:r>
          </w:p>
        </w:tc>
        <w:tc>
          <w:tcPr>
            <w:tcW w:w="120" w:type="dxa"/>
            <w:vAlign w:val="bottom"/>
          </w:tcPr>
          <w:p>
            <w:pPr>
              <w:spacing w:after="0"/>
              <w:rPr>
                <w:sz w:val="12"/>
                <w:szCs w:val="12"/>
                <w:color w:val="auto"/>
              </w:rPr>
            </w:pPr>
          </w:p>
        </w:tc>
        <w:tc>
          <w:tcPr>
            <w:tcW w:w="560" w:type="dxa"/>
            <w:vAlign w:val="bottom"/>
          </w:tcPr>
          <w:p>
            <w:pPr>
              <w:jc w:val="right"/>
              <w:ind w:right="19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34"/>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w w:val="89"/>
              </w:rPr>
              <w:t>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60" w:type="dxa"/>
            <w:vAlign w:val="bottom"/>
          </w:tcPr>
          <w:p>
            <w:pPr>
              <w:spacing w:after="0"/>
              <w:rPr>
                <w:sz w:val="11"/>
                <w:szCs w:val="1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20" w:type="dxa"/>
            <w:vAlign w:val="bottom"/>
          </w:tcPr>
          <w:p>
            <w:pPr>
              <w:spacing w:after="0"/>
              <w:rPr>
                <w:sz w:val="11"/>
                <w:szCs w:val="11"/>
                <w:color w:val="auto"/>
              </w:rPr>
            </w:pPr>
          </w:p>
        </w:tc>
        <w:tc>
          <w:tcPr>
            <w:tcW w:w="560" w:type="dxa"/>
            <w:vAlign w:val="bottom"/>
          </w:tcPr>
          <w:p>
            <w:pPr>
              <w:jc w:val="right"/>
              <w:ind w:right="15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2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Balance, January 1, 2025</w:t>
            </w: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331</w:t>
            </w:r>
          </w:p>
        </w:tc>
        <w:tc>
          <w:tcPr>
            <w:tcW w:w="100" w:type="dxa"/>
            <w:vAlign w:val="bottom"/>
          </w:tcPr>
          <w:p>
            <w:pPr>
              <w:spacing w:after="0"/>
              <w:rPr>
                <w:sz w:val="11"/>
                <w:szCs w:val="11"/>
                <w:color w:val="auto"/>
              </w:rPr>
            </w:pPr>
          </w:p>
        </w:tc>
        <w:tc>
          <w:tcPr>
            <w:tcW w:w="1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5,976</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5,982</w:t>
            </w:r>
          </w:p>
        </w:tc>
        <w:tc>
          <w:tcPr>
            <w:tcW w:w="100" w:type="dxa"/>
            <w:vAlign w:val="bottom"/>
          </w:tcPr>
          <w:p>
            <w:pPr>
              <w:spacing w:after="0"/>
              <w:rPr>
                <w:sz w:val="11"/>
                <w:szCs w:val="11"/>
                <w:color w:val="auto"/>
              </w:rPr>
            </w:pPr>
          </w:p>
        </w:tc>
        <w:tc>
          <w:tcPr>
            <w:tcW w:w="1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(2,052)</w:t>
            </w:r>
          </w:p>
        </w:tc>
        <w:tc>
          <w:tcPr>
            <w:tcW w:w="100" w:type="dxa"/>
            <w:vAlign w:val="bottom"/>
          </w:tcPr>
          <w:p>
            <w:pPr>
              <w:spacing w:after="0"/>
              <w:rPr>
                <w:sz w:val="11"/>
                <w:szCs w:val="11"/>
                <w:color w:val="auto"/>
              </w:rPr>
            </w:pP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18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(2,152)</w:t>
            </w: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778</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8,532</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Exercise of stock options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F&amp;G common stock offering</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Treasury stock repurchased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Issuance of restricted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 of incremental share in consolidated subsidiaries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r>
      <w:tr>
        <w:trPr>
          <w:trHeight w:val="95"/>
        </w:trPr>
        <w:tc>
          <w:tcPr>
            <w:tcW w:w="3820" w:type="dxa"/>
            <w:vAlign w:val="bottom"/>
            <w:gridSpan w:val="3"/>
          </w:tcPr>
          <w:p>
            <w:pPr>
              <w:ind w:left="20"/>
              <w:spacing w:after="0" w:line="96"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and other</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42"/>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financial instruments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709</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2"/>
                <w:szCs w:val="12"/>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709</w:t>
            </w:r>
          </w:p>
        </w:tc>
      </w:tr>
      <w:tr>
        <w:trPr>
          <w:trHeight w:val="102"/>
        </w:trPr>
        <w:tc>
          <w:tcPr>
            <w:tcW w:w="3820" w:type="dxa"/>
            <w:vAlign w:val="bottom"/>
            <w:gridSpan w:val="3"/>
            <w:shd w:val="clear" w:color="auto" w:fill="CCEEFF"/>
          </w:tcPr>
          <w:p>
            <w:pPr>
              <w:ind w:left="20"/>
              <w:spacing w:after="0" w:line="102" w:lineRule="exact"/>
              <w:rPr>
                <w:sz w:val="20"/>
                <w:szCs w:val="20"/>
                <w:color w:val="auto"/>
              </w:rPr>
            </w:pPr>
            <w:r>
              <w:rPr>
                <w:rFonts w:ascii="Times New Roman" w:cs="Times New Roman" w:eastAsia="Times New Roman" w:hAnsi="Times New Roman"/>
                <w:sz w:val="10"/>
                <w:szCs w:val="10"/>
                <w:color w:val="auto"/>
              </w:rPr>
              <w:t>Other comprehensive earnings - unrealized gain on investments in</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unconsolidated affiliates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 unrealized gain on foreign currency translation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w:t>
            </w:r>
          </w:p>
        </w:tc>
      </w:tr>
      <w:tr>
        <w:trPr>
          <w:trHeight w:val="100"/>
        </w:trPr>
        <w:tc>
          <w:tcPr>
            <w:tcW w:w="3820" w:type="dxa"/>
            <w:vAlign w:val="bottom"/>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0"/>
                <w:szCs w:val="10"/>
                <w:color w:val="auto"/>
              </w:rPr>
              <w:t>Reclassification adjustments for unrealized gains and losses included in net</w:t>
            </w: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r>
      <w:tr>
        <w:trPr>
          <w:trHeight w:val="149"/>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earnings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Dividends declared</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(549)</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Dilution from share issuance by consolidated subsidiary</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Shares withheld for taxes and in treasury</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Noncontrolling interest return of capital</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Change in current discount rate — liability for future policy benefits</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Change in instrument-specific credit risk - market risk benefits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Other comprehensive earnings attributable to non-controlling interest</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382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Subsidiary dividends declared to non-controlling interests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1"/>
                <w:szCs w:val="1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1"/>
                <w:szCs w:val="11"/>
                <w:color w:val="auto"/>
              </w:rPr>
            </w:pP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r>
      <w:tr>
        <w:trPr>
          <w:trHeight w:val="14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F&amp;G Distribution</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w:t>
            </w:r>
          </w:p>
        </w:tc>
      </w:tr>
      <w:tr>
        <w:trPr>
          <w:trHeight w:val="133"/>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0"/>
                <w:szCs w:val="10"/>
                <w:color w:val="auto"/>
              </w:rPr>
              <w:t>Net earnings</w:t>
            </w: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602</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679</w:t>
            </w:r>
          </w:p>
        </w:tc>
      </w:tr>
      <w:tr>
        <w:trPr>
          <w:trHeight w:val="153"/>
        </w:trPr>
        <w:tc>
          <w:tcPr>
            <w:tcW w:w="3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3"/>
              </w:rPr>
              <w:t>332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(1,678)</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61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(2,424)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8,972</w:t>
            </w: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r>
      <w:tr>
        <w:trPr>
          <w:trHeight w:val="150"/>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earnings</w:t>
            </w: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593</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Loss (gain) on sales of investments and other assets and asset impairments,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Interest credited/index credits to contractholder account balances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Change in market risk benefits,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Deferred policy acquisition costs and deferred sales inducements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(1,084)</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Charges assessed to contractholders for mortality and administration</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Non-cash lease costs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Operating lease payments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Distributions from unconsolidated affiliates, return on investment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Stock-based compensation cost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 in NAV of limited partnerships, net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w:t>
            </w:r>
          </w:p>
        </w:tc>
      </w:tr>
      <w:tr>
        <w:trPr>
          <w:trHeight w:val="165"/>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Change in valuation of derivatives, equity and preferred securities, net</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(388)</w:t>
            </w:r>
          </w:p>
        </w:tc>
      </w:tr>
      <w:tr>
        <w:trPr>
          <w:trHeight w:val="153"/>
        </w:trPr>
        <w:tc>
          <w:tcPr>
            <w:tcW w:w="832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Change in derivative collateral liability, net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assets and liabilities, net of effects from acquisitions: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Change in reinsurance recoverable</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Change in future policy benefits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1,325</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Change in funds withheld from reinsurers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3,386</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(increase) decrease in trade receivables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3"/>
        </w:trPr>
        <w:tc>
          <w:tcPr>
            <w:tcW w:w="83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Net decrease in reserve for title claim losses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65"/>
        </w:trPr>
        <w:tc>
          <w:tcPr>
            <w:tcW w:w="8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53"/>
        </w:trPr>
        <w:tc>
          <w:tcPr>
            <w:tcW w:w="83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1"/>
                <w:szCs w:val="11"/>
                <w:color w:val="auto"/>
              </w:rPr>
              <w:t>Net change in other assets and other liabilities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5,828</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6,478</w:t>
            </w:r>
          </w:p>
        </w:tc>
      </w:tr>
      <w:tr>
        <w:trPr>
          <w:trHeight w:val="140"/>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9"/>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Proceeds from sales, calls and maturities of investment securities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5,875</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Fundings of notes receivable</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Additions to property and equipment and capitalized software</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Purchases of investment securities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proceeds from (purchases of) sales and maturities of short-term investment securities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acquisitions/disposals, net of cash acquired</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Additional investments in unconsolidated affiliates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(1,296)</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Distributions from unconsolidated affiliates, return of investment</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other investing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44"/>
        </w:trPr>
        <w:tc>
          <w:tcPr>
            <w:tcW w:w="8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(8,934)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(7,862)</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2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(CONTINUED)</w:t>
      </w:r>
    </w:p>
    <w:p>
      <w:pPr>
        <w:spacing w:after="0" w:line="1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For the Year Ended December 31,</w:t>
            </w:r>
          </w:p>
        </w:tc>
        <w:tc>
          <w:tcPr>
            <w:tcW w:w="600" w:type="dxa"/>
            <w:vAlign w:val="bottom"/>
            <w:tcBorders>
              <w:bottom w:val="single" w:sz="8" w:color="auto"/>
            </w:tcBorders>
          </w:tcPr>
          <w:p>
            <w:pPr>
              <w:spacing w:after="0"/>
              <w:rPr>
                <w:sz w:val="13"/>
                <w:szCs w:val="13"/>
                <w:color w:val="auto"/>
              </w:rPr>
            </w:pPr>
          </w:p>
        </w:tc>
      </w:tr>
      <w:tr>
        <w:trPr>
          <w:trHeight w:val="15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Borrowings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offering</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F&amp;G Credit Agreement repayments, net</w:t>
            </w:r>
          </w:p>
        </w:tc>
        <w:tc>
          <w:tcPr>
            <w:tcW w:w="2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Debt costs/equity issuance additions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service payments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Dividends paid</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Subsidiary dividends paid to non-controlling interest shareholders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change in secured trust deposits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Purchase of additional share in consolidated subsidiaries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Payment of contingent consideration for prior period acquisitions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Payment for shares withheld for taxes on share-based compensation</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Contractholder account deposits</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7,787</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Contractholder account withdrawals</w:t>
            </w: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(4,625)</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F&amp;G Equity Offering</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F&amp;G repurchases of F&amp;G stock</w:t>
            </w:r>
          </w:p>
        </w:tc>
        <w:tc>
          <w:tcPr>
            <w:tcW w:w="2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65"/>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44"/>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2,263</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1,759</w:t>
            </w:r>
          </w:p>
        </w:tc>
        <w:tc>
          <w:tcPr>
            <w:tcW w:w="1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3,093</w:t>
            </w:r>
          </w:p>
        </w:tc>
      </w:tr>
      <w:tr>
        <w:trPr>
          <w:trHeight w:val="1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increase in cash and cash equivalents</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712</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w:t>
            </w:r>
          </w:p>
        </w:tc>
      </w:tr>
      <w:tr>
        <w:trPr>
          <w:trHeight w:val="15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beginning of period</w:t>
            </w: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2,767</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2,286</w:t>
            </w:r>
          </w:p>
        </w:tc>
      </w:tr>
      <w:tr>
        <w:trPr>
          <w:trHeight w:val="181"/>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at end of period</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 AND SUBSIDIARIES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27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Note A.</w:t>
        <w:tab/>
        <w:t>Business and Summary of Significant Accounting Policies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describes the business and significant accounting policies of Fidelity National Financial, Inc. and its subsidiaries (collectively, "we," "us," "our," the "Company" or "FNF"), which have been followed in preparing the accompanying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Description of the Business</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 owned subsidiary, F&amp;G Annuities &amp; Life ("F&amp;G").</w:t>
      </w:r>
    </w:p>
    <w:p>
      <w:pPr>
        <w:spacing w:after="0" w:line="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information about our reporting segments refer to Note J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 Life Re Ltd. (“F&amp;G Life Re”)</w:t>
      </w:r>
    </w:p>
    <w:p>
      <w:pPr>
        <w:spacing w:after="0" w:line="8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On February 19, 2026, F&amp;G announced the expected sale of its Bermuda based subsidiary, F&amp;G Life Re, to Ancient Financial Holdings, LP (“Ancient”). The transaction is expected to be completed on March 1, 2026, subject to satisfaction or waiver of customary closing conditions.</w:t>
      </w:r>
    </w:p>
    <w:p>
      <w:pPr>
        <w:spacing w:after="0" w:line="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2025 F&amp;G Distribution</w:t>
      </w:r>
    </w:p>
    <w:p>
      <w:pPr>
        <w:spacing w:after="0" w:line="94"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 xml:space="preserve">On December 31, 2025, we completed our previously announced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distribution of approximately 16 million shares of common stock of F&amp;G owned by FNF, representing approximately 12% of the outstanding shares of F&amp;G's common stock, to all of FNF's shareholders of record as of 4:30 p.m. ET on December 17, 2025 (the "2025 F&amp;G Distribution"). FNF's shareholders received six shares of F&amp;G's common stock for every 100 shares of FNF's common stock.</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No fractional shares of F&amp;G's common stock were distributed. Instead, FNF's shareholders received cash in lieu of any fraction of a share of F&amp;G's common stock that they otherwise would have received. The 2025 F&amp;G Distribution is structured as a taxable dividend to FNF shareholders for U.S. federal income tax purposes. Immediately following the 2025 F&amp;G Distribution, FNF owned approximately 70% of the common stock of F&amp;G.</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 Common Stock Issuance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March 24, 2025, F&amp;G completed a public offering of 8,000,000 shares of F&amp;G common stock, par value $0.001 per share. In connection with the offering, F&amp;G entered into an underwriting agreement, pursuant to which they granted the underwriters of the offering a 30-day option to purchase up to an additional 1,200,000 shares of common stock. Pursuant to the underwriting agreement, the underwriters agreed to resell to FNF 4,500,000 shares of F&amp;G common stock at the same price per share paid by the underwriters, which was $33.60 per share. The underwriters option expired unexercised. F&amp;G is used the net proceeds from the offering for general corporate purposes, including the support of organic growth opportunities.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Redemption of 5.50% F&amp;G Senior Notes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February 1, 2025, F&amp;G redeemed the outstanding $300 million aggregate principal amount of its 5.50% Senior Notes due May 1, 2025 (the "5.50% F&amp;G Senior Notes"). The notes were redeemed for a redemption price equal to 100% of the principal amount of the notes plus accrued and unpaid interest to, but excluding, the redemption date.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7.30% F&amp;G Junior Notes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January 13, 2025, F&amp;G completed its public offering of its 7.30% Junior Subordinated Notes due 2065 with an aggregate principal amount of $375 million (the "7.30% F&amp;G Notes"). F&amp;G used a portion of the net proceeds of this offering to redeem the outstanding $300 million aggregate principal amount of its 5.50% F&amp;G Senior Notes. F&amp;G used the remaining net proceeds for general corporate purposes. The 7.30% F&amp;G Notes were registered under the Securities Act of 1933 (as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amended) (the “Securities Act”).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 and Basis of Presentation</w:t>
      </w:r>
    </w:p>
    <w:p>
      <w:pPr>
        <w:spacing w:after="0" w:line="85" w:lineRule="exact"/>
        <w:rPr>
          <w:sz w:val="20"/>
          <w:szCs w:val="20"/>
          <w:color w:val="auto"/>
        </w:rPr>
      </w:pPr>
    </w:p>
    <w:p>
      <w:pPr>
        <w:jc w:val="both"/>
        <w:ind w:firstLine="255"/>
        <w:spacing w:after="0" w:line="245" w:lineRule="auto"/>
        <w:rPr>
          <w:sz w:val="20"/>
          <w:szCs w:val="20"/>
          <w:color w:val="auto"/>
        </w:rPr>
      </w:pPr>
      <w:r>
        <w:rPr>
          <w:rFonts w:ascii="Times New Roman" w:cs="Times New Roman" w:eastAsia="Times New Roman" w:hAnsi="Times New Roman"/>
          <w:sz w:val="14"/>
          <w:szCs w:val="14"/>
          <w:color w:val="auto"/>
        </w:rPr>
        <w:t>The Consolidated Financial Statements are prepared in accordance with generally accepted accounting principles in the United States ("GAAP") and include our accounts as well as our wholly-owned subsidiaries, majority-owned subsidiaries, and variable interest entities (VIEs) for which we are the primary beneficiary. All intercompany profits, transactions, and balances have been eliminated. Non-controlling interests recorded on the Consolidated Statements of Earnings represent the portion of a majority-owned subsidiary's net earnings or loss that is owned by non-controlling shareholders of the subsidiary. Non-controlling interests recorded on the Consolidated Balance Sheets represent the portion of equity in a consolidated subsidiary owned by non-controlling shareholders.</w:t>
      </w:r>
    </w:p>
    <w:p>
      <w:pPr>
        <w:spacing w:after="0" w:line="7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are involved in certain entities that are considered variable interest entities (“VIEs”) as defined under GAAP. Our involvement with VIEs is primarily to invest in assets that allow us to gain exposure to a broadly diversified portfolio of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We consolidate VIEs for which we are the primary beneficiary and account for all other VIEs as unconsolidated VIEs. We assess our relationships with VIEs to evaluate if we are the primary beneficiary, which is the party that has both (i) the power to direct the activities that most significantly impact the VIE’s economic performance and (ii) the obligation to absorb losses or the right to receive benefits that could potentially be significant. See Note D </w:t>
      </w:r>
      <w:r>
        <w:rPr>
          <w:rFonts w:ascii="Times New Roman" w:cs="Times New Roman" w:eastAsia="Times New Roman" w:hAnsi="Times New Roman"/>
          <w:sz w:val="14"/>
          <w:szCs w:val="14"/>
          <w:i w:val="1"/>
          <w:iCs w:val="1"/>
          <w:color w:val="auto"/>
        </w:rPr>
        <w:t xml:space="preserve">Investments </w:t>
      </w:r>
      <w:r>
        <w:rPr>
          <w:rFonts w:ascii="Times New Roman" w:cs="Times New Roman" w:eastAsia="Times New Roman" w:hAnsi="Times New Roman"/>
          <w:sz w:val="14"/>
          <w:szCs w:val="14"/>
          <w:color w:val="auto"/>
        </w:rPr>
        <w:t>for additional information on our investments in VIEs.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Fixed Maturity Securities</w:t>
      </w:r>
    </w:p>
    <w:p>
      <w:pPr>
        <w:spacing w:after="0" w:line="74" w:lineRule="exact"/>
        <w:rPr>
          <w:sz w:val="20"/>
          <w:szCs w:val="20"/>
          <w:color w:val="auto"/>
        </w:rPr>
      </w:pPr>
    </w:p>
    <w:p>
      <w:pPr>
        <w:jc w:val="both"/>
        <w:ind w:firstLine="255"/>
        <w:spacing w:after="0" w:line="239" w:lineRule="auto"/>
        <w:rPr>
          <w:sz w:val="20"/>
          <w:szCs w:val="20"/>
          <w:color w:val="auto"/>
        </w:rPr>
      </w:pPr>
      <w:r>
        <w:rPr>
          <w:rFonts w:ascii="Times New Roman" w:cs="Times New Roman" w:eastAsia="Times New Roman" w:hAnsi="Times New Roman"/>
          <w:sz w:val="14"/>
          <w:szCs w:val="14"/>
          <w:color w:val="auto"/>
        </w:rPr>
        <w:t xml:space="preserve">Fixed maturity securities are purchased to support our investment strategies, which are developed based on factors including rate of return, maturity, credit risk, duration, tax considerations and regulatory requirements. Our investments in fixed maturity securities have been designated as available-for-sale ("AFS") and are carried at fair value, net of allowance for expected credit losses, with unrealized gains and losses included within AOCI, net of deferred income taxes. Fair values for fixed maturity securities are principally a function of current market conditions and are primarily valued based on quoted prices in markets that are not active or model inputs that are observable or unobservable. We recognize investment income on fixed maturities based on the effective interest method, which results in the recognition of a constant rate of return on the investment equal to the prevailing rate at the time of purchase or at the time of subsequent adjustments of book value. Realized gains and losses on sales of our fixed maturity securities are determined on the basis of the cost of the specific investments sold and are credited or charged to income on a trade date basis except for private placements, which are recorded on a settlement date basis. Realized gains and losses on sales of fixed maturity securities are reported within Recognized gains and (losses), net in the accompanying Consolidated Statements of Earnings. Fixed maturity securities AFS are subject to an allowance for credit loss and changes in the allowance are reported in net earnings as a component of Recognized gains and (losses), net. For details on our policy around allowance for expected credit losses on AFS securities, refer to Note D </w:t>
      </w:r>
      <w:r>
        <w:rPr>
          <w:rFonts w:ascii="Times New Roman" w:cs="Times New Roman" w:eastAsia="Times New Roman" w:hAnsi="Times New Roman"/>
          <w:sz w:val="14"/>
          <w:szCs w:val="14"/>
          <w:i w:val="1"/>
          <w:iCs w:val="1"/>
          <w:color w:val="auto"/>
        </w:rPr>
        <w:t>Investments.</w:t>
      </w:r>
    </w:p>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Equity Securities</w:t>
      </w:r>
    </w:p>
    <w:p>
      <w:pPr>
        <w:spacing w:after="0" w:line="8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Preferred and common equity securities held are carried at fair value as of the balance sheet dates. Changes in fair value and realized gains and losses on sales of our preferred and common equity securities are reported within Recognized gains and losses, net in the Consolidated Statements of Earnings. Realized gains and losses on sales of our preferred and common equity securities are determined on the specific identification basis and are credited or charged to earnings on a trade date basis unless the security is a private placement in which case settlement date basis is used. Interest and dividend income from these investments is reported in Interest and investment income in the Consolidated Statements of Earnings.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Freestanding Derivatives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our F&amp;G segment, we economically hedge certain portions of our exposure to product related equity market risk by entering into derivative transactions (primarily equity options and, to a lesser degree, futures contracts). We also utilize certain interest rate swaps, to reduce market risks from interest rate changes on our earnings associated with our floating rate investments, and foreign currency swaps, to reduce market risks from fluctuations in foreign exchange rates that impact earnings associated with our foreign currency denominated investments. All such derivative instruments are recognized as either assets or liabilities in the Consolidated Balance Sheets at fair value. The changes in fair value of derivatives not designated to hedge relationships are reported within Recognized gains and losses, net in the Consolidated Statements of Earnings. The change in the fair value of these derivative instruments is included in operating activities in the Consolidated Statements of Cash Flows.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Hedge Accounting</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designate certain derivatives to fair value or cash flow hedge relationships that hedge exposures to interest rates, foreign currency, or both, associated with changes in the fair value of a recognized asset or liability (“fair value hedge”) or a forecasted transaction or variability of cash flows to be received or paid related to a recognized asset or liability (“cash flow hedge”).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When a derivative is designated as a fair value hedge and is determined to be highly effective, changes in the fair value of the derivative included in the assessment of effectiveness are reported in the same line on the Consolidated Statements of Earnings that is used to report the earnings effect of the hedged item.</w:t>
      </w:r>
    </w:p>
    <w:p>
      <w:pPr>
        <w:spacing w:after="0" w:line="3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When a derivative is designated as a cash flow hedge and is determined to be highly effective, changes in the fair value of the derivative included in the assessment of effectiveness are recorded in AOCI until earnings are affected by the variability of cash flows being hedged. At the time the variability of cash flows being hedged impacts net earnings, the related portion of deferred gains or losses on the derivative instrument is reclassified and reported in net earnings in the same line item on the Consolidated Statements of Earnings that is used to report the earnings effect of the hedged item.</w:t>
      </w:r>
    </w:p>
    <w:p>
      <w:pPr>
        <w:spacing w:after="0" w:line="22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Any portion of the change in fair value of a derivative designated to a fair value or cash flow hedge relationship that is excluded from the assessment of effectiveness will be recorded in AOCI and amortized into earnings over the life of the remaining term of the hedge relationship.</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qualify for hedge accounting, at hedge inception we formally document our risk management objective and strategy for entering into hedging relationships, as well as the designation of the hedge. In our hedge documentation, we explain how the hedging instrument is expected to hedge the designated risks related to the hedged item and the method that will be used to test for hedge effectiveness on both a prospective and retrospective basis. A derivative designated as a hedging instrument must be assessed as being highly effective in offsetting the designated risk of the hedged item. Effectiveness of the hedge is formally assessed at inception and at least quarterly throughout the life of the hedging relationship.</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prospectively discontinue hedge accounting when (1) the criteria to qualify for hedge accounting is no longer met; (2) the derivative expires, is sold, terminated, or is exercised; or (3) we de-designate the derivative from being the hedging instrument for a fair value or cash flow hedge.</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a fair value or cash flow hedge is discontinued, the derivative will continue to be carried at fair value on the Consolidated Balance Sheets, with changes in fair value recognized prospectively in Recognized gains and losses in the Consolidated Statements of Earnings.</w:t>
      </w:r>
    </w:p>
    <w:p>
      <w:pPr>
        <w:spacing w:after="0" w:line="3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For discontinued fair value hedges, the hedged item will no longer be adjusted for changes in the hedged risk and any existing basis adjustment will be amortized into the Consolidated Statements of Earnings within the same line item that is used to report other earnings effects of the hedged item. Any amounts remaining in AOCI associated with a component of the change in derivative fair value excluded from the assessment of effectiveness will be amortized into earnings in a manner consistent with how any basis adjustment associated with the hedged item would be amortized.</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 of AOCI related to discontinued cash flow hedges where it is probable the hedged forecasted transaction will not occur, will be immediately reclassified from AOCI into earnings.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all other cases any amounts remaining in AOCI will be amortized into earnings consistent with the earnings impacts expected from the original hedged cash flows.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Embedded Derivatives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We purchase financial instruments and enter into agreements that may contain embedded derivatives.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For further information, refer to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Mortgage Loans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investment in mortgage loans consists of commercial and residential mortgage loans on real estate, which are reported at amortized cost, less allowance for expected credit losses. For details on our policy around allowance for expected credit losses on mortgage loans, refer to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w:t>
      </w:r>
    </w:p>
    <w:p>
      <w:pPr>
        <w:spacing w:after="0" w:line="1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Commercial mortgage loans ("CMLs") are continuously monitored by reviewing appraisals, operating statements, rent revenues, annual inspection reports, loan specific credit quality, property characteristics, market trends and other factors.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CMLs are rated for the purpose of quantifying the level of risk. Loans are placed on a watch list when the debt service coverage ("DSC") ratio falls below certain thresholds and the loan-to-value ("LTV") ratios exceeds certain thresholds. Loans 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watchlist are closely monitored for collateral deficiency or other credit events that may lead to a potential loss of principal or interest. We define delinquent mortgage loans as 30 days past due, consistent with industry practice.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Residential mortgage loans ("RMLs") have a primary credit quality indicator of either a performing or nonperforming loan. We define nonperforming RMLs as those that are 90 or more days past due and/or in nonaccrual status, which is assessed monthly. Generally, nonperforming RMLs have a higher risk of experiencing a credit loss. We consider residential mortgage loans that are 90 or more days past due and have an LTV greater than 90% to be foreclosure probable.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Interest income, amortization of premiums and discounts, prepayment fees, and loan commitment fees are reported in Interest and investment income in the accompanying Consolidated Statements of Earnings.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Short-term investments consist of financial instruments with an original maturity of one year or less when purchased and include short-term fixed maturity securities and money market instruments, which are carried at fair value, and short-term loans, which are carried at amortized cost, which approximates fair value.</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In our F&amp;G segment, we account for our investments in unconsolidated affiliates using the equity method or by electing the fair value option. Initial investments are recorded at cost. For investments subsequently measured using the equity method (primarily limited partnerships, including those held by consolidated VIEs), adjustments to the carrying amount reflect our pro rata ownership percentage of the operating results as indicated by net asset value ("NAV") in the unconsolidated affiliates’ financial statements, which we may adjust if we determine NAV is not calculated consistent with investment company fair value principles. Our pro rata share of NAV adjustments are reported in Interest and investment income and realized gains and losses on sales are reported in Recognized gains and losses, net in the Consolidated Statements of Earnings. Distributions received from investments measured using the equity method are recorded as a decrease in the investment balance. Recognition of income and adjustments to the carrying amount can be delayed due to the availability of the related financial statements, which are obtained from the general partner or managing member generally on a one to three-month delay. Management inquires quarterly with the general partner or managing member to determine whether any credit or other market events have occurred since prior quarter financial statements to ensure any material events are properly included in current quarter NAV adjustments and investment income.</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For investments subsequently measured using the fair value option, adjustments to the carrying amount reflecting the change in fair value of the investment and realized gains and losses on sales are reported in Recognized gains and losses, net in the Consolidated Statements of Earnings. Distributions received from investments measured using the fair value option are reported within Interest and investment income in the Consolidated Statements of Earnings.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For descriptions of the fair value methodologies used for our investments, refer to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our title segment, we account for our investments in unconsolidated affiliates using the equity method of accounting and earnings on our investments in unconsolidated affiliates are recorded within Equity in earnings of unconsolidated affiliates within the Consolidated Statements of Earnings. We classify distributions received from unconsolidated affiliates in our Consolidated Statements of Cash Flows using the cumulative earnings approach. Under the cumulative earnings approach, distributions are considered returns on investment and classified as cash inflows from operating activities unless the Company’s cumulative distributions from an investee received exceed the cumulative equity in earnings of such investee. When cumulative distributions from an investee exceed cumulative equity in earnings of the investee, such excess is considered a return of investment and is classified as a cash inflow from investing activities.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and investment income</w:t>
      </w:r>
    </w:p>
    <w:p>
      <w:pPr>
        <w:spacing w:after="0" w:line="7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Dividends and interest income are recorded in Interest and investment income and recognized when earned. Income or losses upon call or prepayment of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1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For mortgage-backed and asset-backed securities, included in the fixed maturity securities portfolios, one of two models may be used to recognize interest income. For higher rated securities, interest income will be estimated based on an effective yield that considers cash flows received to date plus current expectations of future cash flows. For all other securities, interest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income will be estimated based upon an effective yield that considers current expectations of future cash flows. For both interest income models, the estimated future cash flows include assumptions regarding the performance of the underlying collateral pool.</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Interest and investment income is presented net of investment expenses and the effects of certain reinsurance contracts.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Highly liquid instruments purchased as part of cash management with original maturities of three months or less are considered cash equivalents. The carrying amounts reported in the Consolidated Balance Sheets for these instruments approximate fair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Trade and Notes Receivables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values reported in the Consolidated Balance Sheets for trade and notes receivables approximate their fair value.</w:t>
      </w:r>
    </w:p>
    <w:p>
      <w:pPr>
        <w:spacing w:after="0" w:line="7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Premium revenues from agency title operations are recognized when the underlying title order and transaction closing, if applicable, are complete and reported to us. Premium revenues from agency operations and related commissions include an accrual based on estimated historical transaction volume data for policies that have closed in a particular period in which premiums have not yet been reported to us. Historically, the time lag between the closing of these transactions by our agents and the reporting of these policies, or premiums, to us has been up to 15 months, with 48% - 75% reported within three months following closing, an additional 24% - 48% reported within the next three months, and the remainder within seven to fifteen months. In addition to accruing these earned but unreported agency premiums, we also accrue agent commission expense, which was 77.5% of agent premiums earned in 2025, 77.4% of agent premiums earned in 2024, and 76.9% of agent premiums earned in 2023. The amount due from our agents relating to this accrual, i.e., the agent premium less their contractual retained commission, was approximately $42 million and $40 million as of December 31, 2025 and 2024, respectively. Due to the offsetting effects of reversing prior period accruals, the impact of this accrual to our recorded Agency title insurance premiums, Agent commissions, and net earnings in any given period is not considered material.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Financial Instruments</w:t>
      </w:r>
    </w:p>
    <w:p>
      <w:pPr>
        <w:spacing w:after="0" w:line="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The fair values of financial instruments presented in the Consolidated Financial Statements are estimates of the fair values at the balance sheet date using available market information and appropriate valuation methodologies. These estimates are subjective in nature and involve uncertainties and significant judgment in the interpretation of current market data. See a description of the fair value methodology used in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of Assets Acquired and Liabilities Assumed in Business Combinations</w:t>
      </w:r>
    </w:p>
    <w:p>
      <w:pPr>
        <w:spacing w:after="0" w:line="85"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Financial Accounting Standards Board ("FASB") Accounting Standards Codification ("ASC") Topic 805, Business Combinations, requires an acquirer to recognize, separately from goodwill, the identifiable assets acquired, liabilities assumed, and any non-controlling interest in the acquiree, and to measure these items generally at their acquisition date fair values. If the initial accounting for a business combination is incomplete by the end of the reporting period in which the combination occurs, we are required to report provisional amounts in the financial statements for the items for which the accounting is incomplete. Adjustments to provisional amounts initially recorded that are identified during the measurement period are recognized in the reporting period in which the adjustment amounts are determined. This includes any effect on earnings of changes in depreciation, amortization, or other income effects as a result of the change to the provisional amounts, calculated as if the accounting had been completed at the acquisition date. During the measurement period, we are also required to recognize additional assets or liabilities if new information is obtained about facts and circumstances that existed as of the acquisition date that, if known, would have resulted in the recognition of those assets and liabilities as of that date. The measurement period ends the sooner of one year from the acquisition date, or when we receive the information we were seeking about facts and circumstances that existed as of the acquisition date or learn that more information is not obtainable.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Goodwill represents the excess of cost over fair value of identifiable net assets acquired and assumed in a business combination. Goodwill and other intangible assets with indefinite useful lives are reviewed for impairment at the reporting unit level on an annual basis or more frequently if circumstances indicate potential impairment, through a comparison of fair value to the carrying amount. In evaluating the recoverability of goodwill, we perform a qualitative analysis at the reporting unit level to determine whether there are any events or circumstances that would indicate it is more likely than not that the fair value of our recorded goodwill exceeds its carrying value, prior to performing a full fair-value assessment.</w:t>
      </w:r>
    </w:p>
    <w:p>
      <w:pPr>
        <w:spacing w:after="0" w:line="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complete annual goodwill impairment analyses in the fourth quarter of each period presented using a September 30 measurement date. For the years ended December 31, 2025, 2024, and 2023, we determined there were no events or circumstances which indicated that the carrying value of a reporting unit exceeded the fair value.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Insurance and Reinsurance Related Intangible Assets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insurance and reinsurance related intangible assets, which include the value of insurance and reinsurance contracts acquired (hereafter referred to as “VOBA”), DAC, DSI, and cost of reinsurance (“COR”). VOBA, DAC, and DSI are reported in Other intangible assets, net, on the Consolidated Balance Sheets. COR may be reported in Prepaid expenses and other assets or in Accounts payable and accrued liabilities on the Consolidated Balance Sheets as described below under “Reinsurance - Cost of Reinsurance.”</w:t>
      </w:r>
    </w:p>
    <w:p>
      <w:pPr>
        <w:spacing w:after="0" w:line="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VOBA is an intangible asset that reflects the amount recorded as insurance contract liabilities less the estimated fair value of in-force contracts (“VIF”) in a life insurance company acquisition. It represents the portion of the purchase price that is allocated to the value of the rights to receive future cash flows from the business inforce at the acquisition date. VOBA is a function of the VIF, current GAAP reserves, GAAP assets, and deferred tax liability. The VIF is determined by the present value of statutory distributable earnings less opening required capital. DAC consists principally of commissions and other acquisition costs that are related directly to the successful sale of new or renewal insurance contracts that are deferred as they are incurred. When insurance contracts are reinsured and reinsurance accounting is applied, acquisition cost reimbursements from reinsurers are recorded as a reduction to DAC. Indirect or unsuccessful acquisition costs, maintenance, product development, and overhead expenses are charged to expense as incurred and are offset by maintenance expense reimbursements within a reinsurance arrangement, when reinsurance accounting is applied to the respective arrangement DSI represents up front bonus credits and persistency or vesting bonuses credited to contractholder fund balances. COR represents net cash flows on reinsurance coverage to ensure no gain or loss is recognized at inception.</w:t>
      </w:r>
    </w:p>
    <w:p>
      <w:pPr>
        <w:spacing w:after="0" w:line="6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VOBA, DAC, DSI, and COR are amortized on a constant level basis for the grouped contracts over the expected term of the related contracts to approximate straight-line amortization. Contracts are grouped by product type, feature and issue year into cohorts consistent with the grouping used in estimating the associated liability, where applicable. The constant level amortization bases of VOBA, DAC, DSI, and COR varies by product type. For universal life and indexed universal life (“IUL”) insurance products, the constant level basis used is face amount inforce. For deferred annuities (indexed annuities and fixed rate annuities), the constant level basis used is initial premium deposit for DAC and DSI and vested account value as of the acquisition date for VOBA and ceded initial premium for COR. For immediate annuity contracts, the VOBA balance is amortized in alignment with the Company’s accounting policy of amortizing the deferred profit liability (“DPL”). All amortization bases are adjusted by full lapses, which includes deaths, full surrenders, annuitizations and maturities, where applicable.</w:t>
      </w:r>
    </w:p>
    <w:p>
      <w:pPr>
        <w:spacing w:after="0" w:line="6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constant level basis used for amortization are projected using mortality and lapse assumptions that are based on Company’s experience, industry data, and other factors and are consistent with those used for the FPB, where applicable. If those projected assumptions change in future periods, they will be reflected in the cohort level amortization basis at that time. Unexpected contract terminations, due to higher mortality and/or lapse experience than expected, are recognized in the current period as a reduction of the capitalized balances. All balances are reduced for actual experience in excess of expected experience with changes in future estimates recognized prospectively over the remaining expected grouped contract term. The impact of changes in projected assumptions and the impact of actual experience that is different from expectations impact the amortization of these intangible assets, which is reported within Depreciation and amortization for VOBA, DAC DSI and for COR, if the net COR balance is in a deferred gain position is reported within Life insurance premiums and other fees, and if the net COR balance is in a deferred loss position is reported within Other operating expenses in the Consolidated Statements of Earnings.</w:t>
      </w:r>
    </w:p>
    <w:p>
      <w:pPr>
        <w:spacing w:after="0" w:line="6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Some of our IUL policies require payment of fees or other policyholder assessments in advance for services that will be rendered over the estimated lives of the policies or contracts. These payments are established as URL upon receipt and included in Accounts payable and other accrued liabilities in the Consolidated Balance Sheets. URL is amortized like DAC over the estimated lives of these policies.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Intangible Assets</w:t>
      </w:r>
    </w:p>
    <w:p>
      <w:pPr>
        <w:spacing w:after="0" w:line="8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We have other intangible assets, not including goodwill, VOBA, DAC or DSI, which consist primarily of customer relationships and contracts, the value of distribution network acquired ("VODA"), trademarks and tradenames, state licenses, and computer software, which are generally recorded in connection with business combinations at their fair value.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VODA is an intangible asset that represents the value of an acquired distribution network and is amortized using the sum of years digits method. Contractual relationships are generally amortized over their contractual life. Trademarks and tradenames are generally amortized over ten years. Capitalized computer software includes the fair value of software acquired in business combinations, purchased software and capitalized software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For internal-use computer software products, internal and external costs incurred during the preliminary project stage are expensed as they are incurred. Internal and external costs incurred during the application development stage are capitalized and amortized on a product-by-product basis commencing on the date the software is ready for its intended use. We do not capitalize any costs once the software is ready for its intended use.</w:t>
      </w:r>
    </w:p>
    <w:p>
      <w:pPr>
        <w:spacing w:after="0" w:line="4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We review VOBA, DSI and other intangible assets for impairment annually or when events or circumstances occur that indicate a potential change in the underlying basis. For further information, refer to Note L </w:t>
      </w:r>
      <w:r>
        <w:rPr>
          <w:rFonts w:ascii="Times New Roman" w:cs="Times New Roman" w:eastAsia="Times New Roman" w:hAnsi="Times New Roman"/>
          <w:sz w:val="14"/>
          <w:szCs w:val="14"/>
          <w:i w:val="1"/>
          <w:iCs w:val="1"/>
          <w:color w:val="auto"/>
        </w:rPr>
        <w:t>Intangibles</w:t>
      </w:r>
      <w:r>
        <w:rPr>
          <w:rFonts w:ascii="Times New Roman" w:cs="Times New Roman" w:eastAsia="Times New Roman" w:hAnsi="Times New Roman"/>
          <w:sz w:val="14"/>
          <w:szCs w:val="14"/>
          <w:color w:val="auto"/>
        </w:rPr>
        <w:t xml:space="preserve"> for details of impairment expense.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Title Plants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for the years ended December 31, 2025, 2024, and 2023 and did not record any impairment expense in the years ended December 31, 2025 and 2023. We recorded $2 million of impairment expense related to title plants in the year ended December 31,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Property and equipment are reviewed for impairment whenever events or circumstances indicate that the carrying amounts may not be recoverable. We did not record any impairment expense related to property and equipment in the years ended December 31, 2025, 2024, and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Contractholder Funds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Contractholder funds include deferred annuities (indexed annuities and fixed rate annuities), IULs, funding agreements and non-life contingent ("NLC") immediate annuities (which includes NLC pension risk transfer ("PRT") annuities). The liabilities for contractholder funds for fixed rate annuities, funding agreements and NLC immediate annuities consist of contract account balances that accrue to the benefit of the contractholders. The liabilities for indexed annuities and IUL policies consist of the value of the host contract plus the fair value of the indexed crediting feature of the policy, which is accounted for as an embedded derivative. The embedded derivative liability is carried at fair value in Contractholder funds in the Consolidated Balance Sheets with changes in fair value reported in Benefits and other changes in policy reserves in the Consolidated Statements of Earnings. See a description of the fair value methodology used in Note C </w:t>
      </w:r>
      <w:r>
        <w:rPr>
          <w:rFonts w:ascii="Times New Roman" w:cs="Times New Roman" w:eastAsia="Times New Roman" w:hAnsi="Times New Roman"/>
          <w:sz w:val="14"/>
          <w:szCs w:val="14"/>
          <w:i w:val="1"/>
          <w:iCs w:val="1"/>
          <w:color w:val="auto"/>
        </w:rPr>
        <w:t>Fair Value of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Instruments</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Policy Benefits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FPB are determined as the present value of future policy benefits and related claims expenses to be paid to or on behalf of the policyholder less the present value of future net premiums to be collected from policyholders. The FPB for traditional life policies and life-contingent immediate annuity policies (which includes life-contingent PRT annuities) are estimated using current assumptions that include discount rate, mortality and surrender/lapse terminations for traditional life insurance policies only, and expenses. The expense assumption is locked-in at contract issuance and not subsequently reviewed or updated. The initial assumptions are based on generally accepted actuarial methods and a combination of internal and industry experience. Policies are terminated through surrenders, lapses and maturities, where surrenders represent the voluntary terminations of policies by policyholders, lapses represent cancellations by us due to nonpayment of premiums, and maturities are determined by policy contract terms.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traditional life policies and life-contingent immediate annuity policies, contracts are grouped into cohorts by product type, legal entity, and issue year, or acquisition year for cohorts established as of the F&amp;G acquisition date, June 1, 2020. Life-contingent PRT annuities are grouped into cohorts by deal and legal entity. At contract inception, a net premium ratio ("NPR") is determined, which is calculated based on discounted future cash flows projected using best estimate assumptions and is capped at 100%, as net premiums cannot exceed gross premiums. Cohorts with NPRs less than 100% are not used to offset cohorts with NPRs greater than 100%.</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The NPR is adjusted for changes in cash flow assumptions and for differences between actual and expected experience. We assess the appropriateness of all future cash flow assumptions, excluding the expense assumption, on a quarterly basis and perform an in-depth review of future cash flow assumptions in the third quarter of each year. Updates are made when evidence suggests a revision is necessary. Updates for actual experience, which includes actual cash flows and insurance in-force, are performed on a quarterly basis. These updated cash flows are used to calculate a revised NPR, which is used to derive an updated liability as of the beginning of the current reporting period, discounted at the original contract issuance date. The updated liability is compared with the carrying amount of the liability as of that same date before the revised NPR. The difference between these amounts is the remeasurement gain or loss, presented parenthetically within Benefits and other changes in policy reserves in the Consolidated Statements of Earnings. In subsequent periods, the revised NPR is used to measure the FPB, subject to future revisions. If the NPR is greater than 100%, and therefore capped at 100%, the liability is increased and expensed immediately to reflect the amount necessary for net premiums to equal gross premiums. As the liability assumptions are reviewed and updated, if deemed necessary, at least annually, if conditions improve whereby the contracts are no longer expected to have net premiums in excess of gross premiums, the improvements would be captured in the remeasurement process and reflected in the Consolidated Statements of Earnings in the period of improvement.</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For traditional life policies and life-contingent immediate annuity policies (which includes life-contingent PRT annuities), the discount rate assumption is an equivalent single rate that is derived based on A-credit-rated fixed-income instruments with similar duration to the liability. We selected fixed-income instruments that have been A-rated by Bloomberg. In order to reflect the duration characteristics of the liability, we will use an implied forward yield curve and linear interpolation will be used for durations that have limited or no market observable points on the curve. The discount rate assumption is updated quarterly and used to remeasure the liability at the reporting date, with the resulting change reflected in the accompanying Consolidated Statements of Comprehensive Earnings.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Profit Liability</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life-contingent immediate annuity policies, gross premiums received in excess of net premiums are deferred at initial recognition as a DPL. Premiums are measured using assumptions consistent with those used in the measurement of the related liability for FPBs, including discount rate, mortality, and expenses.</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The DPL is amortized and recognized as premium revenue with the amount of expected future benefit payments, discounted using the same discount rate determined and locked-in at contract issuance that is used in the measurement of the related FPB. Interest is accreted on the balance of the DPL using this same discount rate. We periodically review and update our estimates using the actual historical experience and updated cash flows for the DPL at the same time as the estimates of cash flows for the FPB. When cash flows are updated, the updated estimates are used to recalculate the initial DPL at contract issuance. The recalculated DPL as of the beginning of the current reporting period is compared to the carrying amount of the DPL as of the beginning of the current reporting period, with any differences recognized as a remeasurement gain or loss, presented parenthetically within Benefits and other changes in policy reserves in the Consolidated Statements of Earnings. The DPL is recorded as a component of the Future policy benefits in the Consolidated Balance Sheets.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Risk Benefits ("MRBs")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MRBs are contracts or contract features that both provide protection to the contract holder from other-than-nominal capital market risk (equity, interest rate and foreign exchange risk) and expose the Company to other-than-nominal capital market risk. MRBs include certain contract features primarily on indexed annuities products that provide minimum guarantees to policyholders, such as guaranteed minimum death benefit ("GMDB"), guaranteed minimum withdrawal benefit ("GMWB") riders and guaranteed minimum accumulation benefit ("GMAB") riders. In certain reinsurance transactions, the underlying risks ceded to a reinsurer contain MRBs.</w:t>
      </w:r>
    </w:p>
    <w:p>
      <w:pPr>
        <w:spacing w:after="0" w:line="56" w:lineRule="exact"/>
        <w:rPr>
          <w:sz w:val="20"/>
          <w:szCs w:val="20"/>
          <w:color w:val="auto"/>
        </w:rPr>
      </w:pPr>
    </w:p>
    <w:p>
      <w:pPr>
        <w:jc w:val="both"/>
        <w:ind w:firstLine="255"/>
        <w:spacing w:after="0" w:line="276" w:lineRule="auto"/>
        <w:rPr>
          <w:sz w:val="20"/>
          <w:szCs w:val="20"/>
          <w:color w:val="auto"/>
        </w:rPr>
      </w:pPr>
      <w:r>
        <w:rPr>
          <w:rFonts w:ascii="Times New Roman" w:cs="Times New Roman" w:eastAsia="Times New Roman" w:hAnsi="Times New Roman"/>
          <w:sz w:val="14"/>
          <w:szCs w:val="14"/>
          <w:color w:val="auto"/>
        </w:rPr>
        <w:t>MRBs (inclusive of reinsured MRBs) are measured at fair value using an attributed fee measurement approach where attributed fees are explicit rider charges collectible from the policyholder (or paid to the reinsurer) used to cover the excess benefits, which represent expected benefits in excess of the policyholder’s account value. At contract inception, an attributed fee ratio is calculated equal</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rider charges over benefits paid in excess of the account value attributable to the MRBs. The attributed fee ratio remains static over the life of the MRBs and is capped at 100%. Each period subsequent to contract inception, the attributed fee ratio is used to calculate the fair value of the MRBs using a risk neutral valuation method and is based on current net amounts at risk, market data, internal and industry experience, and other factors. The balances are computed using assumptions including mortality, full and partial surrender, GMWB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MRBs can either be in an asset or liability position and are presented separately on the Consolidated Balance Sheets as the right of setoff criteria are not met. Changes in fair value, net, are recognized in Market risk benefit (gains) losses in the Consolidated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Statements of Earnings, except for the change in fair value due to a change in the instrument-specific credit risk, which is recognized in the Consolidated Statements of Comprehensive Earnings. See descriptions of the fair value methodology used in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and Note W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Reserve for Title Claim Losses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reserve for title claim losses also includes reserves for losses arising from closing and disbursement functions due to fraud or operational error.</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Secured Trust Deposits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the state of Illinois, a trust company is permitted to commingle and invest customers’ assets with its own assets, pending completion of real estate transactions. Accordingly, our Consolidated Balance Sheets reflect a secured trust deposit liability of $731 million and $551 million at December 31, 2025 and 2024, respectively, representing customers’ assets held by us and corresponding assets including cash and investments pledged as security for those trust balances.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4" w:lineRule="exact"/>
        <w:rPr>
          <w:sz w:val="20"/>
          <w:szCs w:val="20"/>
          <w:color w:val="auto"/>
        </w:rPr>
      </w:pPr>
    </w:p>
    <w:p>
      <w:pPr>
        <w:jc w:val="center"/>
        <w:ind w:right="10540"/>
        <w:spacing w:after="0"/>
        <w:rPr>
          <w:sz w:val="20"/>
          <w:szCs w:val="20"/>
          <w:color w:val="auto"/>
        </w:rPr>
      </w:pPr>
      <w:r>
        <w:rPr>
          <w:rFonts w:ascii="Times New Roman" w:cs="Times New Roman" w:eastAsia="Times New Roman" w:hAnsi="Times New Roman"/>
          <w:sz w:val="14"/>
          <w:szCs w:val="14"/>
          <w:b w:val="1"/>
          <w:bCs w:val="1"/>
          <w:i w:val="1"/>
          <w:iCs w:val="1"/>
          <w:color w:val="auto"/>
        </w:rPr>
        <w:t>Reinsurance</w:t>
      </w:r>
    </w:p>
    <w:p>
      <w:pPr>
        <w:spacing w:after="0" w:line="94"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our Title segment, in a limited number of situations, we limit our maximum loss exposure by reinsuring certain risks with other title insurers. We also earn a small amount of additional income, which is reflected in our direct premiums, by assuming reinsurance for certain risks of other title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F&amp;G segment, our insurance subsidiaries enter into reinsurance agreements with other companies in the normal course of business. In certain arrangements that are not accounted for as reinsurance, the right of offset may be applied resulting in all balances and activity associated with the agreement being presented on a net basis in the Consolidated Balance Sheets and Statements of Earnings, respectively.</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When the right of offset is not applied, the arrangement is reflected on a gross basis in the Consolidated Balance Sheets and Statements of Earnings. This results in the recognition of a Reinsurance recoverable for amounts due from the reinsurer. For arrangements accounted for as reinsurance, the Reinsurance recoverable balance reflects the reserve balance of the policies ceded. For arrangements not accounted for as reinsurance, deposit accounting is applied. As a result, the deposit asset presented as a Reinsurance recoverable on the Consolidated Balance Sheets, is based on the actual and expected cash flows due from the reinsurer where the interest method is used to accrete the deposit asset using an effective yield based on changes in actual and expected cash flows. For coinsurance of FIA and IUL policies, the Reinsurance recoverable will incorporate the fair value of the indexed crediting feature, which is accounted for as an embedded derivative. Changes in the Reinsurance recoverable balance are reported as Benefits and other changes in policy reserves in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Reinsurance</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Amounts received from or paid to reinsurers in excess of reimbursements or liabilities ceded, respectively, represents COR. If the net COR balance is in a deferred gain position, it is included within Accounts payable and accrued liabilities with the related amortization reflected within Life insurance premiums and other fees and, if in a deferred loss position, is included within the Prepaid expenses and other assets with the related amortization reflected within Other operating expenses, in the Consolidated Balance Sheets and Statements of Earnings, respectively. Premiums and expenses are recorded net of reinsurance ceded.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Funds Withheld Arrangements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F&amp;G cedes certain business on a coinsurance funds withheld basis. Assets supporting the arrangements are reported within Funds withheld for reinsurance liabilities on our Consolidated Balance Sheets. All assets within the Funds withheld for reinsurance liabilities are recorded in a manner consistent with each respective item of our accounting policies discussed in this Note A </w:t>
      </w:r>
      <w:r>
        <w:rPr>
          <w:rFonts w:ascii="Times New Roman" w:cs="Times New Roman" w:eastAsia="Times New Roman" w:hAnsi="Times New Roman"/>
          <w:sz w:val="14"/>
          <w:szCs w:val="14"/>
          <w:i w:val="1"/>
          <w:iCs w:val="1"/>
          <w:color w:val="auto"/>
        </w:rPr>
        <w:t>Business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Investment results for the assets that support the coinsurance are segregated within the funds withheld account and are passed directly to the reinsurer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pursuant to the contractual terms of the reinsurance agreement, which creates embedded derivatives considered to be total return swaps. These embedded derivatives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Beginning in 2025, these embedded derivatives are reported in Funds withheld for reinsurance liabilities, irrespective if in a net asset position or a net liability position, on the Consolidated Balance Sheets and prior periods have been reclassified from Prepaid expenses and other assets to conform with the current presentation. The related gains or losses are reported in Recognized gains and losses, net, on the Consolidated Statements of Earnings.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See Note N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xml:space="preserve"> for more details over F&amp;G's reinsurance agreements.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K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a description of our accounting for our various revenue streams.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Benefits and Other Changes in Policy Reserves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Benefit expenses for deferred annuities (indexed annuities and fixed rate annuities), IUL policies and funding agreements include interest credited to contractholder account balances. For indexed annuities and IUL, the benefits expense includes the change in fair value of the embedded derivatives associated with the equity crediting rates. Benefit claims in excess of contract account balances, net of reinsurance recoveries, are charged to expense in the period that they are earned by the policyholder based on their selected strategy or strategies.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 the exception of reinsured MRBs discussed above, changes in the Reinsurance recoverable balance that need to be reflected in earnings are included within Benefits and other changes in policy reserves on the Consolidated Statements of Earnings. For reinsurance arrangements that apply reinsurance accounting, this primarily relates to changes in the reserve balance ceded. For reinsurance arrangements that apply deposit accounting, this primarily relates to accretion of the deposit asset balance.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changes in policy reserves also include the change in reserves for life insurance products. For traditional life and life-contingent immediate annuities (which includes PRT annuities with life contingencies), policy benefit claims are charged to expense in the period that the claims are incurred, net of reinsurance recoveries. Remeasurement gains or losses on the related FPB and DPL balances are presented parenthetically within Benefits and other changes in policy reserves in the accompanying Consolidated Statements of Earnings.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Plans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account for stock-based compensation plans using the fair value method. Using the fair value method of accounting, compensation cost is measured based on the fair value of the award at the grant date using quoted market prices, and recognized over the service period.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Earnings Per Share</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Basic earnings per share, as presented on the Consolidated Statement of Earnings, is computed by dividing net earnings available to common shareholders by the weighted average number of common shares outstanding during the period. In periods when earnings are positive, diluted earnings per share is calculated by dividing net earnings available to common shareholders by the weighted average number of common shares outstanding plus the impact of assumed conversions of potentially dilutive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share-based payments, which have been treated as common share equivalents for purposes of calculating diluted earnings per share for periods in which positive earnings have been reported.</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net earnings of F&amp;G in our calculation of diluted earnings per share is adjusted for dilution related to certain F&amp;G restricted stock granted to F&amp;G's employees in accordance with ASC 260-10-55-20. We calculate the ratio of the shares of F&amp;G we own to the total weighted average diluted shares of F&amp;G outstanding and multiply the ratio by F&amp;G's net earnings. The result is used for F&amp;G's net earnings attributable to FNF included in our consolidated net earnings in the numerator for our diluted EPS calculation.</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Restricted stock, options or other instruments, which provide the ability to acquire shares of our common stock that are antidilutive are excluded from the computation of diluted earnings per share. There were no antidilutive instruments outstanding for the years ended December 31, 2025 and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Earnings (Loss)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Recognized gains and losses, net on the Consolidated Statements of Earnings. The income tax effects are released from AOCI when the related activity is reclassified to net earnings.</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Changes in the balance of Other comprehensive earnings (loss) for the years ended December 31, 2025, 2024, and 2023, by component are as follows: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Unrealized gain (loss) on investments and</w:t>
            </w:r>
          </w:p>
        </w:tc>
        <w:tc>
          <w:tcPr>
            <w:tcW w:w="80" w:type="dxa"/>
            <w:vAlign w:val="bottom"/>
          </w:tcPr>
          <w:p>
            <w:pPr>
              <w:spacing w:after="0"/>
              <w:rPr>
                <w:sz w:val="11"/>
                <w:szCs w:val="11"/>
                <w:color w:val="auto"/>
              </w:rPr>
            </w:pPr>
          </w:p>
        </w:tc>
        <w:tc>
          <w:tcPr>
            <w:tcW w:w="142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Change in current discount</w:t>
            </w:r>
          </w:p>
        </w:tc>
        <w:tc>
          <w:tcPr>
            <w:tcW w:w="100" w:type="dxa"/>
            <w:vAlign w:val="bottom"/>
          </w:tcPr>
          <w:p>
            <w:pPr>
              <w:spacing w:after="0"/>
              <w:rPr>
                <w:sz w:val="11"/>
                <w:szCs w:val="11"/>
                <w:color w:val="auto"/>
              </w:rPr>
            </w:pP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Change in instrument-specific</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Total Accumulated Other</w:t>
            </w:r>
          </w:p>
        </w:tc>
        <w:tc>
          <w:tcPr>
            <w:tcW w:w="0" w:type="dxa"/>
            <w:vAlign w:val="bottom"/>
          </w:tcPr>
          <w:p>
            <w:pPr>
              <w:spacing w:after="0"/>
              <w:rPr>
                <w:sz w:val="1"/>
                <w:szCs w:val="1"/>
                <w:color w:val="auto"/>
              </w:rPr>
            </w:pPr>
          </w:p>
        </w:tc>
      </w:tr>
      <w:tr>
        <w:trPr>
          <w:trHeight w:val="115"/>
        </w:trPr>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other financial instruments, net (excluding</w:t>
            </w:r>
          </w:p>
        </w:tc>
        <w:tc>
          <w:tcPr>
            <w:tcW w:w="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credit risk - market risk</w:t>
            </w:r>
          </w:p>
        </w:tc>
        <w:tc>
          <w:tcPr>
            <w:tcW w:w="300" w:type="dxa"/>
            <w:vAlign w:val="bottom"/>
          </w:tcPr>
          <w:p>
            <w:pPr>
              <w:spacing w:after="0"/>
              <w:rPr>
                <w:sz w:val="9"/>
                <w:szCs w:val="9"/>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00" w:type="dxa"/>
            <w:vAlign w:val="bottom"/>
          </w:tcPr>
          <w:p>
            <w:pPr>
              <w:spacing w:after="0"/>
              <w:rPr>
                <w:sz w:val="9"/>
                <w:szCs w:val="9"/>
                <w:color w:val="auto"/>
              </w:rPr>
            </w:pPr>
          </w:p>
        </w:tc>
        <w:tc>
          <w:tcPr>
            <w:tcW w:w="1360" w:type="dxa"/>
            <w:vAlign w:val="bottom"/>
          </w:tcPr>
          <w:p>
            <w:pPr>
              <w:jc w:val="center"/>
              <w:ind w:right="43"/>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 Earnings</w:t>
            </w:r>
          </w:p>
        </w:tc>
        <w:tc>
          <w:tcPr>
            <w:tcW w:w="0" w:type="dxa"/>
            <w:vAlign w:val="bottom"/>
          </w:tcPr>
          <w:p>
            <w:pPr>
              <w:spacing w:after="0"/>
              <w:rPr>
                <w:sz w:val="1"/>
                <w:szCs w:val="1"/>
                <w:color w:val="auto"/>
              </w:rPr>
            </w:pPr>
          </w:p>
        </w:tc>
      </w:tr>
      <w:tr>
        <w:trPr>
          <w:trHeight w:val="155"/>
        </w:trPr>
        <w:tc>
          <w:tcPr>
            <w:tcW w:w="2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investments in unconsolidated affiliates)</w:t>
            </w: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rate - future policy benefits</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benefits</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(Loss)</w:t>
            </w:r>
          </w:p>
        </w:tc>
        <w:tc>
          <w:tcPr>
            <w:tcW w:w="0" w:type="dxa"/>
            <w:vAlign w:val="bottom"/>
          </w:tcPr>
          <w:p>
            <w:pPr>
              <w:spacing w:after="0"/>
              <w:rPr>
                <w:sz w:val="1"/>
                <w:szCs w:val="1"/>
                <w:color w:val="auto"/>
              </w:rPr>
            </w:pPr>
          </w:p>
        </w:tc>
      </w:tr>
      <w:tr>
        <w:trPr>
          <w:trHeight w:val="145"/>
        </w:trPr>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(2,870)</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759</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tcBorders>
              <w:bottom w:val="single" w:sz="8" w:color="auto"/>
            </w:tcBorders>
            <w:shd w:val="clear" w:color="auto" w:fill="CCEEFF"/>
          </w:tcPr>
          <w:p>
            <w:pPr>
              <w:spacing w:after="0"/>
              <w:rPr>
                <w:sz w:val="14"/>
                <w:szCs w:val="14"/>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144"/>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00" w:type="dxa"/>
            <w:vAlign w:val="bottom"/>
          </w:tcPr>
          <w:p>
            <w:pPr>
              <w:spacing w:after="0"/>
              <w:rPr>
                <w:sz w:val="12"/>
                <w:szCs w:val="12"/>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(2,119)</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44"/>
        </w:trPr>
        <w:tc>
          <w:tcPr>
            <w:tcW w:w="2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0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(2,795)</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808</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(2,052)</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Reclassification adjustments</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0" w:type="dxa"/>
            <w:vAlign w:val="bottom"/>
          </w:tcPr>
          <w:p>
            <w:pPr>
              <w:spacing w:after="0"/>
              <w:rPr>
                <w:sz w:val="1"/>
                <w:szCs w:val="1"/>
                <w:color w:val="auto"/>
              </w:rPr>
            </w:pPr>
          </w:p>
        </w:tc>
      </w:tr>
      <w:tr>
        <w:trPr>
          <w:trHeight w:val="153"/>
        </w:trPr>
        <w:tc>
          <w:tcPr>
            <w:tcW w:w="27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comprehensive earnings</w:t>
            </w:r>
          </w:p>
        </w:tc>
        <w:tc>
          <w:tcPr>
            <w:tcW w:w="100" w:type="dxa"/>
            <w:vAlign w:val="bottom"/>
          </w:tcPr>
          <w:p>
            <w:pPr>
              <w:spacing w:after="0"/>
              <w:rPr>
                <w:sz w:val="13"/>
                <w:szCs w:val="13"/>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w:t>
            </w:r>
          </w:p>
        </w:tc>
        <w:tc>
          <w:tcPr>
            <w:tcW w:w="0" w:type="dxa"/>
            <w:vAlign w:val="bottom"/>
          </w:tcPr>
          <w:p>
            <w:pPr>
              <w:spacing w:after="0"/>
              <w:rPr>
                <w:sz w:val="1"/>
                <w:szCs w:val="1"/>
                <w:color w:val="auto"/>
              </w:rPr>
            </w:pPr>
          </w:p>
        </w:tc>
      </w:tr>
      <w:tr>
        <w:trPr>
          <w:trHeight w:val="165"/>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F&amp;G Distribution</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53"/>
        </w:trPr>
        <w:tc>
          <w:tcPr>
            <w:tcW w:w="2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Estimates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Periodically, and at least annually, typically in the third quarter, we review the assumptions associated with reserves for policy benefits and product guarantees. During the third quarter and for the years ended December 31, 2025 and 2024, based 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policyholder behavior, experience and interest rate movements, we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decreases in total benefits and other changes in policy reserves of approximately $20 million and $89 million for the years ended December 31, 2025 and 2024, respectively.</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third quarter and for the year ended December 31, 2023, based on increases in interest rates and pricing changes, we updated certain indexed annuities assumptions to calculate the fair value of the embedded derivative component within the contractholder funds and also aligned reserves to actual policyholder behavior. These changes resulted in an increase in total benefits and other changes in policy reserves of approximately $73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Prior period amounts have been reclassified to conform with the current period presentation. Refer to “</w:t>
      </w:r>
      <w:r>
        <w:rPr>
          <w:rFonts w:ascii="Times New Roman" w:cs="Times New Roman" w:eastAsia="Times New Roman" w:hAnsi="Times New Roman"/>
          <w:sz w:val="14"/>
          <w:szCs w:val="14"/>
          <w:i w:val="1"/>
          <w:iCs w:val="1"/>
          <w:color w:val="auto"/>
        </w:rPr>
        <w:t>Funds Withheld Arrangements</w:t>
      </w:r>
      <w:r>
        <w:rPr>
          <w:rFonts w:ascii="Times New Roman" w:cs="Times New Roman" w:eastAsia="Times New Roman" w:hAnsi="Times New Roman"/>
          <w:sz w:val="14"/>
          <w:szCs w:val="14"/>
          <w:color w:val="auto"/>
        </w:rPr>
        <w:t>” above for further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Owned Distribution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the years ended December 31, 2025, 2024, and 2023, we expensed approximately $55 million, $119 million, and $154 million in commissions on sales through our funded owned distribution investments and their affiliates, respectively, with the acquisition expense deferred and amortized in Depreciation and amortization on the accompanying Consolidated Statements of Earnings.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B — Summary of Reserve for Title Claim Losses</w:t>
      </w:r>
    </w:p>
    <w:p>
      <w:pPr>
        <w:spacing w:after="0" w:line="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A summary of the reserve for title claim losses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4"/>
        </w:trPr>
        <w:tc>
          <w:tcPr>
            <w:tcW w:w="5840" w:type="dxa"/>
            <w:vAlign w:val="bottom"/>
          </w:tcPr>
          <w:p>
            <w:pPr>
              <w:spacing w:after="0"/>
              <w:rPr>
                <w:sz w:val="13"/>
                <w:szCs w:val="13"/>
                <w:color w:val="auto"/>
              </w:rPr>
            </w:pPr>
          </w:p>
        </w:tc>
        <w:tc>
          <w:tcPr>
            <w:tcW w:w="8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r>
      <w:tr>
        <w:trPr>
          <w:trHeight w:val="150"/>
        </w:trPr>
        <w:tc>
          <w:tcPr>
            <w:tcW w:w="5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Beginning balance</w:t>
            </w:r>
          </w:p>
        </w:tc>
        <w:tc>
          <w:tcPr>
            <w:tcW w:w="8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4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1,810</w:t>
            </w:r>
          </w:p>
        </w:tc>
        <w:tc>
          <w:tcPr>
            <w:tcW w:w="100" w:type="dxa"/>
            <w:vAlign w:val="bottom"/>
            <w:shd w:val="clear" w:color="auto" w:fill="CCEEFF"/>
          </w:tcPr>
          <w:p>
            <w:pPr>
              <w:spacing w:after="0"/>
              <w:rPr>
                <w:sz w:val="14"/>
                <w:szCs w:val="14"/>
                <w:color w:val="auto"/>
              </w:rPr>
            </w:pPr>
          </w:p>
        </w:tc>
      </w:tr>
      <w:tr>
        <w:trPr>
          <w:trHeight w:val="153"/>
        </w:trPr>
        <w:tc>
          <w:tcPr>
            <w:tcW w:w="5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insurance recoverable</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r>
      <w:tr>
        <w:trPr>
          <w:trHeight w:val="16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 loss provision related to:</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5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3"/>
                <w:szCs w:val="13"/>
                <w:color w:val="auto"/>
              </w:rPr>
            </w:pPr>
          </w:p>
        </w:tc>
      </w:tr>
      <w:tr>
        <w:trPr>
          <w:trHeight w:val="165"/>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r>
      <w:tr>
        <w:trPr>
          <w:trHeight w:val="144"/>
        </w:trPr>
        <w:tc>
          <w:tcPr>
            <w:tcW w:w="58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title claim loss provision</w:t>
            </w:r>
          </w:p>
        </w:tc>
        <w:tc>
          <w:tcPr>
            <w:tcW w:w="8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4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 w:type="dxa"/>
            <w:vAlign w:val="bottom"/>
          </w:tcPr>
          <w:p>
            <w:pPr>
              <w:spacing w:after="0"/>
              <w:rPr>
                <w:sz w:val="12"/>
                <w:szCs w:val="12"/>
                <w:color w:val="auto"/>
              </w:rPr>
            </w:pPr>
          </w:p>
        </w:tc>
      </w:tr>
      <w:tr>
        <w:trPr>
          <w:trHeight w:val="16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Claims paid, net of recoupments related to:</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3"/>
        </w:trPr>
        <w:tc>
          <w:tcPr>
            <w:tcW w:w="58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Current year</w:t>
            </w:r>
          </w:p>
        </w:tc>
        <w:tc>
          <w:tcPr>
            <w:tcW w:w="8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4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tcPr>
          <w:p>
            <w:pPr>
              <w:spacing w:after="0"/>
              <w:rPr>
                <w:sz w:val="13"/>
                <w:szCs w:val="13"/>
                <w:color w:val="auto"/>
              </w:rPr>
            </w:pPr>
          </w:p>
        </w:tc>
      </w:tr>
      <w:tr>
        <w:trPr>
          <w:trHeight w:val="165"/>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Prior years</w:t>
            </w:r>
          </w:p>
        </w:tc>
        <w:tc>
          <w:tcPr>
            <w:tcW w:w="8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4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100" w:type="dxa"/>
            <w:vAlign w:val="bottom"/>
            <w:tcBorders>
              <w:bottom w:val="single" w:sz="8" w:color="auto"/>
            </w:tcBorders>
            <w:shd w:val="clear" w:color="auto" w:fill="CCEEFF"/>
          </w:tcPr>
          <w:p>
            <w:pPr>
              <w:spacing w:after="0"/>
              <w:rPr>
                <w:sz w:val="14"/>
                <w:szCs w:val="14"/>
                <w:color w:val="auto"/>
              </w:rPr>
            </w:pPr>
          </w:p>
        </w:tc>
      </w:tr>
      <w:tr>
        <w:trPr>
          <w:trHeight w:val="144"/>
        </w:trPr>
        <w:tc>
          <w:tcPr>
            <w:tcW w:w="58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Total title claims paid, net of recoupments</w:t>
            </w: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Borders>
              <w:bottom w:val="single" w:sz="8" w:color="auto"/>
            </w:tcBorders>
          </w:tcPr>
          <w:p>
            <w:pPr>
              <w:spacing w:after="0"/>
              <w:rPr>
                <w:sz w:val="12"/>
                <w:szCs w:val="12"/>
                <w:color w:val="auto"/>
              </w:rPr>
            </w:pPr>
          </w:p>
        </w:tc>
      </w:tr>
      <w:tr>
        <w:trPr>
          <w:trHeight w:val="181"/>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of claim loss reserve for title insurance</w:t>
            </w: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1,700</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w:t>
            </w:r>
          </w:p>
        </w:tc>
        <w:tc>
          <w:tcPr>
            <w:tcW w:w="4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100" w:type="dxa"/>
            <w:vAlign w:val="bottom"/>
            <w:tcBorders>
              <w:bottom w:val="single" w:sz="8" w:color="auto"/>
            </w:tcBorders>
            <w:shd w:val="clear" w:color="auto" w:fill="CCEEFF"/>
          </w:tcPr>
          <w:p>
            <w:pPr>
              <w:spacing w:after="0"/>
              <w:rPr>
                <w:sz w:val="15"/>
                <w:szCs w:val="15"/>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122"/>
        </w:trPr>
        <w:tc>
          <w:tcPr>
            <w:tcW w:w="58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rPr>
              <w:t>Provision for title insurance claim losses as a percentage of title insurance premiums</w:t>
            </w:r>
          </w:p>
        </w:tc>
        <w:tc>
          <w:tcPr>
            <w:tcW w:w="8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440" w:type="dxa"/>
            <w:vAlign w:val="bottom"/>
            <w:tcBorders>
              <w:bottom w:val="single" w:sz="8" w:color="auto"/>
            </w:tcBorders>
          </w:tcPr>
          <w:p>
            <w:pPr>
              <w:jc w:val="right"/>
              <w:ind w:right="283"/>
              <w:spacing w:after="0" w:line="122" w:lineRule="exact"/>
              <w:rPr>
                <w:sz w:val="20"/>
                <w:szCs w:val="20"/>
                <w:color w:val="auto"/>
              </w:rPr>
            </w:pPr>
            <w:r>
              <w:rPr>
                <w:rFonts w:ascii="Times New Roman" w:cs="Times New Roman" w:eastAsia="Times New Roman" w:hAnsi="Times New Roman"/>
                <w:sz w:val="11"/>
                <w:szCs w:val="11"/>
                <w:color w:val="auto"/>
                <w:w w:val="86"/>
              </w:rPr>
              <w:t>%</w:t>
            </w:r>
          </w:p>
        </w:tc>
        <w:tc>
          <w:tcPr>
            <w:tcW w:w="9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4.5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1"/>
              </w:rPr>
              <w:t>%</w:t>
            </w:r>
          </w:p>
        </w:tc>
      </w:tr>
      <w:tr>
        <w:trPr>
          <w:trHeight w:val="20"/>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C — Fair Value of Financial Instruments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along with net asset value. The three-level hierarchy for fair value measurement is defined as follows: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Values are unadjusted quoted prices for identical assets and liabilities in active markets accessible at the measurement date.</w:t>
      </w:r>
    </w:p>
    <w:p>
      <w:pPr>
        <w:spacing w:after="0" w:line="72"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Inputs include quoted prices for similar assets or liabilities in active markets, quoted prices from those willing to trade in markets that are not active, or other inputs that are observable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can be corroborated by market data for the term of the instrument. Such inputs include market interest rates and volatilities, spreads, and yield curves.</w:t>
      </w:r>
    </w:p>
    <w:p>
      <w:pPr>
        <w:spacing w:after="0" w:line="14" w:lineRule="exact"/>
        <w:rPr>
          <w:sz w:val="20"/>
          <w:szCs w:val="20"/>
          <w:color w:val="auto"/>
        </w:rPr>
      </w:pPr>
    </w:p>
    <w:p>
      <w:pPr>
        <w:ind w:left="36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Certain inputs are unobservable (supported by little or no market activity) and significant to the fair value measurement. Unobservable inputs reflect the Company’s best estimate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what hypothetical market participants would use to determine a transaction price for the asset or liability at the reporting date based on the best information available in the circumstances.</w:t>
      </w:r>
    </w:p>
    <w:p>
      <w:pPr>
        <w:spacing w:after="0" w:line="1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Net Asset Value ("NAV") </w:t>
      </w:r>
      <w:r>
        <w:rPr>
          <w:rFonts w:ascii="Times New Roman" w:cs="Times New Roman" w:eastAsia="Times New Roman" w:hAnsi="Times New Roman"/>
          <w:sz w:val="14"/>
          <w:szCs w:val="14"/>
          <w:color w:val="auto"/>
        </w:rPr>
        <w:t>– Certain equity investments are measured using NAV as a practical expedient in determining fair value. In addition, our unconsolidated affiliates (primarily limited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partnerships) are primarily accounted for using the equity method of accounting with fair value determined using NAV as a practical expedient. Our carrying value reflects our pro rata ownership percentage as indicated by NAV in the unconsolidated affiliate’s financial statements, which we may adjust if we determine NAV is not calculated consistent with investment company fair value principles. The underlying investments of the unconsolidated affiliates may have significant unobservable inputs, which may include, but are not limited to, comparable multiples and weighted average cost of capital rates applied in valuation models or a discounted cash flow model. Additionally, management inquires quarterly with the general partner to determine whether any credit or other market events have occurred since prior period financial statements to ensure any material events are properly included in current period valuation and investment income.</w:t>
      </w:r>
    </w:p>
    <w:p>
      <w:pPr>
        <w:spacing w:after="0" w:line="23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assets and liabilities measured and carried at fair value on a recurring basis, summarized according to the hierarchy previously described,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2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7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2,636</w:t>
            </w:r>
          </w:p>
        </w:tc>
        <w:tc>
          <w:tcPr>
            <w:tcW w:w="100" w:type="dxa"/>
            <w:vAlign w:val="bottom"/>
          </w:tcPr>
          <w:p>
            <w:pPr>
              <w:spacing w:after="0"/>
              <w:rPr>
                <w:sz w:val="13"/>
                <w:szCs w:val="13"/>
                <w:color w:val="auto"/>
              </w:rPr>
            </w:pPr>
          </w:p>
        </w:tc>
        <w:tc>
          <w:tcPr>
            <w:tcW w:w="76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2,636</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10,094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18,738</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5,200</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3,145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24,448</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 Government</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938</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Preferred equity securities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Common equity securities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ind w:left="720"/>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1,156</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 (a)</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7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1,764</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1,920</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annuities/IUL ceded embedded derivatives, included in Reinsurance recoverable</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399</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 receivable, included in Prepaid expenses and other assets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0" w:type="dxa"/>
            <w:vAlign w:val="bottom"/>
          </w:tcPr>
          <w:p>
            <w:pPr>
              <w:spacing w:after="0"/>
              <w:rPr>
                <w:sz w:val="1"/>
                <w:szCs w:val="1"/>
                <w:color w:val="auto"/>
              </w:rPr>
            </w:pPr>
          </w:p>
        </w:tc>
      </w:tr>
      <w:tr>
        <w:trPr>
          <w:trHeight w:val="181"/>
        </w:trPr>
        <w:tc>
          <w:tcPr>
            <w:tcW w:w="52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Total financial assets at fair value</w:t>
            </w:r>
          </w:p>
        </w:tc>
        <w:tc>
          <w:tcPr>
            <w:tcW w:w="78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14,530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62,597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2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220" w:type="dxa"/>
            <w:vAlign w:val="bottom"/>
          </w:tcPr>
          <w:p>
            <w:pPr>
              <w:ind w:left="180"/>
              <w:spacing w:after="0" w:line="106" w:lineRule="exact"/>
              <w:rPr>
                <w:sz w:val="20"/>
                <w:szCs w:val="20"/>
                <w:color w:val="auto"/>
              </w:rPr>
            </w:pPr>
            <w:r>
              <w:rPr>
                <w:rFonts w:ascii="Times New Roman" w:cs="Times New Roman" w:eastAsia="Times New Roman" w:hAnsi="Times New Roman"/>
                <w:sz w:val="11"/>
                <w:szCs w:val="11"/>
                <w:color w:val="auto"/>
              </w:rPr>
              <w:t>Indexed annuities/indexed universal life insurance ("IUL") embedded derivatives, included in Contractholder</w:t>
            </w:r>
          </w:p>
        </w:tc>
        <w:tc>
          <w:tcPr>
            <w:tcW w:w="780" w:type="dxa"/>
            <w:vAlign w:val="bottom"/>
            <w:vMerge w:val="restart"/>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vMerge w:val="restart"/>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6,542</w:t>
            </w:r>
          </w:p>
        </w:tc>
        <w:tc>
          <w:tcPr>
            <w:tcW w:w="80" w:type="dxa"/>
            <w:vAlign w:val="bottom"/>
          </w:tcPr>
          <w:p>
            <w:pPr>
              <w:spacing w:after="0"/>
              <w:rPr>
                <w:sz w:val="9"/>
                <w:szCs w:val="9"/>
                <w:color w:val="auto"/>
              </w:rPr>
            </w:pPr>
          </w:p>
        </w:tc>
        <w:tc>
          <w:tcPr>
            <w:tcW w:w="2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6,542</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funds</w:t>
            </w:r>
          </w:p>
        </w:tc>
        <w:tc>
          <w:tcPr>
            <w:tcW w:w="78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rate and foreign currency swaps, included in Accounts payable and accrued liabilities</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3"/>
        </w:trPr>
        <w:tc>
          <w:tcPr>
            <w:tcW w:w="52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Reinsurance related embedded derivatives, included in Funds withheld for reinsurance liabilities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Equity options</w:t>
            </w:r>
          </w:p>
        </w:tc>
        <w:tc>
          <w:tcPr>
            <w:tcW w:w="7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5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consideration, included in Accounts payable and accrued liabilities</w:t>
            </w:r>
          </w:p>
        </w:tc>
        <w:tc>
          <w:tcPr>
            <w:tcW w:w="7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6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7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903</w:t>
            </w:r>
          </w:p>
        </w:tc>
        <w:tc>
          <w:tcPr>
            <w:tcW w:w="0" w:type="dxa"/>
            <w:vAlign w:val="bottom"/>
          </w:tcPr>
          <w:p>
            <w:pPr>
              <w:spacing w:after="0"/>
              <w:rPr>
                <w:sz w:val="1"/>
                <w:szCs w:val="1"/>
                <w:color w:val="auto"/>
              </w:rPr>
            </w:pPr>
          </w:p>
        </w:tc>
      </w:tr>
      <w:tr>
        <w:trPr>
          <w:trHeight w:val="150"/>
        </w:trPr>
        <w:tc>
          <w:tcPr>
            <w:tcW w:w="522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Total financial liabilities at fair value</w:t>
            </w:r>
          </w:p>
        </w:tc>
        <w:tc>
          <w:tcPr>
            <w:tcW w:w="78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7,526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7,605</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(a) Includes certain interests in VIEs for which the fair value option has been elected. Refer to Note D - </w:t>
      </w:r>
      <w:r>
        <w:rPr>
          <w:rFonts w:ascii="Times New Roman" w:cs="Times New Roman" w:eastAsia="Times New Roman" w:hAnsi="Times New Roman"/>
          <w:sz w:val="11"/>
          <w:szCs w:val="11"/>
          <w:i w:val="1"/>
          <w:iCs w:val="1"/>
          <w:color w:val="auto"/>
        </w:rPr>
        <w:t>Investments</w:t>
      </w:r>
      <w:r>
        <w:rPr>
          <w:rFonts w:ascii="Times New Roman" w:cs="Times New Roman" w:eastAsia="Times New Roman" w:hAnsi="Times New Roman"/>
          <w:sz w:val="11"/>
          <w:szCs w:val="11"/>
          <w:color w:val="auto"/>
        </w:rPr>
        <w:t xml:space="preserve"> for further details.</w:t>
      </w:r>
    </w:p>
    <w:p>
      <w:pPr>
        <w:spacing w:after="0" w:line="200" w:lineRule="exact"/>
        <w:rPr>
          <w:sz w:val="20"/>
          <w:szCs w:val="20"/>
          <w:color w:val="auto"/>
        </w:rPr>
      </w:pP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NAV</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3,479</w:t>
            </w:r>
          </w:p>
        </w:tc>
        <w:tc>
          <w:tcPr>
            <w:tcW w:w="10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3,479</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15,656</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18,698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21,696</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Hybrids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U.S. Government</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Preferred equity securities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Common equity securities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794</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2,995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3,050</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annuities/IUL ceded embedded derivatives, included in Reinsurance recoverable</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 receivable, included in Prepaid expenses and other asset</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81"/>
        </w:trPr>
        <w:tc>
          <w:tcPr>
            <w:tcW w:w="4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b w:val="1"/>
                <w:bCs w:val="1"/>
                <w:color w:val="auto"/>
              </w:rPr>
              <w:t>Total financial assets at fair value</w:t>
            </w:r>
          </w:p>
        </w:tc>
        <w:tc>
          <w:tcPr>
            <w:tcW w:w="840" w:type="dxa"/>
            <w:vAlign w:val="bottom"/>
            <w:tcBorders>
              <w:top w:val="single" w:sz="8" w:color="auto"/>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37,459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57,293</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90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Derivatives:</w:t>
            </w:r>
          </w:p>
        </w:tc>
        <w:tc>
          <w:tcPr>
            <w:tcW w:w="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Indexed annuities/IUL embedded derivatives, included in Contractholder funds</w:t>
            </w: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w:t>
            </w:r>
          </w:p>
        </w:tc>
        <w:tc>
          <w:tcPr>
            <w:tcW w:w="10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rate swaps, included in Accounts payable and accrued liabilities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3"/>
        </w:trPr>
        <w:tc>
          <w:tcPr>
            <w:tcW w:w="49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Equity options</w:t>
            </w:r>
          </w:p>
        </w:tc>
        <w:tc>
          <w:tcPr>
            <w:tcW w:w="8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Reinsurance related embedded derivatives, included in Funds withheld for reinsurance liabilities</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0" w:type="dxa"/>
            <w:vAlign w:val="bottom"/>
          </w:tcPr>
          <w:p>
            <w:pPr>
              <w:spacing w:after="0"/>
              <w:rPr>
                <w:sz w:val="1"/>
                <w:szCs w:val="1"/>
                <w:color w:val="auto"/>
              </w:rPr>
            </w:pPr>
          </w:p>
        </w:tc>
      </w:tr>
      <w:tr>
        <w:trPr>
          <w:trHeight w:val="153"/>
        </w:trPr>
        <w:tc>
          <w:tcPr>
            <w:tcW w:w="4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Contingent consideration, included in Accounts payable and accrued liabilities</w:t>
            </w:r>
          </w:p>
        </w:tc>
        <w:tc>
          <w:tcPr>
            <w:tcW w:w="84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0" w:type="dxa"/>
            <w:vAlign w:val="bottom"/>
          </w:tcPr>
          <w:p>
            <w:pPr>
              <w:spacing w:after="0"/>
              <w:rPr>
                <w:sz w:val="1"/>
                <w:szCs w:val="1"/>
                <w:color w:val="auto"/>
              </w:rPr>
            </w:pPr>
          </w:p>
        </w:tc>
      </w:tr>
      <w:tr>
        <w:trPr>
          <w:trHeight w:val="16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8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0" w:type="dxa"/>
            <w:vAlign w:val="bottom"/>
          </w:tcPr>
          <w:p>
            <w:pPr>
              <w:spacing w:after="0"/>
              <w:rPr>
                <w:sz w:val="1"/>
                <w:szCs w:val="1"/>
                <w:color w:val="auto"/>
              </w:rPr>
            </w:pPr>
          </w:p>
        </w:tc>
      </w:tr>
      <w:tr>
        <w:trPr>
          <w:trHeight w:val="150"/>
        </w:trPr>
        <w:tc>
          <w:tcPr>
            <w:tcW w:w="49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Total financial liabilities at fair value</w:t>
            </w:r>
          </w:p>
        </w:tc>
        <w:tc>
          <w:tcPr>
            <w:tcW w:w="840" w:type="dxa"/>
            <w:vAlign w:val="bottom"/>
            <w:tcBorders>
              <w:top w:val="single" w:sz="8" w:color="auto"/>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5,843</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5,745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Cash and Cash Equivalents</w:t>
      </w:r>
    </w:p>
    <w:p>
      <w:pPr>
        <w:spacing w:after="0" w:line="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carrying amounts reported in the Consolidated Balance Sheets for these instruments approximate fair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Fixed Maturity, Preferred and Equity Securities</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measure the fair value of our securities based on assumptions used by market participants in pricing the security. The most appropriate valuation methodology is selected based on the specific characteristics of the fixed maturity, preferred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2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analyze the third-party valuation methodologies and related inputs to perform assessments to determine the appropriate level within the fair value hierarchy. However, we did not adjust prices received from third parties as of December 31, 2025 or 2024.</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Certain equity investments are measured using NAV as a practical expedient in determining fair value.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85"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Derivative contracts can either be exchange traded or traded over the counter. Exchange traded derivatives typically fall within Level 1 of the fair value hierarchy if there is active trading activity. Two methods are used to value over-the-counter derivatives. When required inputs are available, certain derivatives are valued using valuation pricing models, which represent what we would expect to receive or pay at the balance sheet date if we cancelled or exercised the derivative or entered into offsetting positions. Valuation models require a variety of inputs, which include the use of market-observable inputs, including interest rate, yield curve volatilities, foreign currency exchange rates and other factors. These over-the-counter derivatives are typically classified within Level 2 of the fair value hierarchy as the majority trade in liquid markets, we can verify model inputs and model selection does not involve significant management judgment. When inputs are not available for valuation models, certain over-the-counter derivatives are valued using independent broker quotes, which are based on unobservable market data and classified within Level 3. Effective September 30, 2024, pricing for certain derivatives was obtained from internal models using substantially all market observable inputs, and those derivatives were transferred out of Level 3 to Level 2.</w:t>
      </w:r>
    </w:p>
    <w:p>
      <w:pPr>
        <w:spacing w:after="0" w:line="62"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fair value of the reinsurance-related embedded derivatives in our funds withheld reinsurance agreements are estimated based upon the change in fair value (for total return swaps), or the fair value (for the index credit obligation due the reinsurer), of the assets supporting the funds withheld from reinsurance liabilities. The fair value of the assets is based on a quoted market price of similar assets or is obtained from models using substantially all market observable inputs (Level 2), and therefore the fair value of the embedded derivatives are based on market-observable inputs and are classified as Level 2.</w:t>
      </w:r>
    </w:p>
    <w:p>
      <w:pPr>
        <w:spacing w:after="0" w:line="162"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 xml:space="preserve">The fair value measurement of the indexed annuities/IUL embedded derivatives, representing the indexed crediting feature of the policies included in Contractholder funds, and the ceded portion, the reinsured indexed crediting feature embedded derivatives recorded as a component of the Reinsurance recoverable,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equity options in future periods to fund the equity indexed linked feature), surrender rates, mortality multiplier and non-performance spread. The mortality multiplier at December 31, 2025 and 2024 was applied to the 2012 Individual Annuity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 Also refer to Management's Estimates in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regarding certain assumption updates.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have elected the fair value option (“FVO”) for certain investments in unconsolidated affiliates as we believe this better aligns them with other investments in unconsolidated affiliates that are measured using NAV as a practical expedient in determining fair value. Investments measured using the FVO are included in Level 3 and the fair values of these investments are determined using a multiple of the affiliates’ earnings before interest, taxes, depreciation and amortization (“EBITDA”). The EBITDA is based on the affiliates’ financial information. The multiple is derived from market analysis of transactions involving comparable companies. The inputs are considered unobservable, as not all market participants have access to this data.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carrying amounts reported in the Consolidated Balance Sheets for these instruments approximate fair value. Certain short-term investments are valued based on third-party pricing services or broker quotes and are classified as Level 2 or 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Loan receivable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Concurrent with the Roar purchase agreement, F&amp;G executed a separate loan agreement with the sellers of Roar. The loan is collateralized by the sellers’ minority equity stake in Roar. The loan receivable is measured at fair value using a discounted cash flow model applied using a Monte Carlo simulation of estimated cash flows at each measurement period and for each</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simulated path relative to the estimated collateral value. The Monte Carlo simulation utilizes the outstanding principal balance, a risk-adjusted discount rate, and risk-free rates to discount the expected cash flows and compare to the estimated collateral value for each payment period and simulated path. The discounted cash flow approach applies a company-specific discount rate to future expected interest and payoff payments to calculate the estimated fair value based on the average outcome from the simulation. This loan receivable is included in Level 3 and the inputs are considered unobservable, as not all market participants have access to this data.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long-term Investments</w:t>
      </w:r>
    </w:p>
    <w:p>
      <w:pPr>
        <w:spacing w:after="0" w:line="10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elected the fair value option (“FVO”) for certain loans held by consolidated VIEs to better align measurement with the economic characteristics of the underlying structures and to reduce accounting mismatches that would otherwise result from measuring the assets and liabilities using different attributes. We have also elected to apply the collateralized financing entity guidance in ASC 810 to measure both the financial assets and the financial liabilities of the VIE using the more observable of the fair value of the financial assets and the fair value of the financial liabilities. We believe that the value of the debt securities, that trade in the secondary market, are more observable than the pricing of the individual loans and will use the fair value of the debt securities issued by the VIE as a practical expedient in determining the fair value of the loans. Based on the market-observable inputs of the debt securities, the fair value of the loans are included in Level 2.</w:t>
      </w:r>
    </w:p>
    <w:p>
      <w:pPr>
        <w:spacing w:after="0" w:line="80"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We hold a fund-linked note, which provides for an additional payment at maturity based on the value of an embedded derivative based on the actual return of a dedicated return fund. Fair value of the embedded derivative is based on an unobservable input, the NAV of the fund at the balance sheet date. The embedded derivative is similar to an equity option on the NAV of the fund with a strike price of zero since F&amp;G will not be required to make any additional payments at maturity of the fund-linked note in order to receive the NAV of the fund on the maturity date. A Black-Scholes model determines the NAV of the fund as the fair value of the equity option regardless of the values used for the other inputs to the option pricing model. The NAV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E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Assets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Mortgage servicing rights are measured at fair value using a discounted cash flow model, which incorporates assumptions that market participants use in estimating future net servicing income cash flows. These assumptions include estimates of prepayment rates, discount rates, cost to service (including delinquency and foreclosure costs), escrow account earnings, contractual servicing fee income, and ancillary income.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Contingent Consideration</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 have recorded contingent consideration pursuant to the terms of the purchase agreement for the acquisition of Roar. The contingent consideration is measured at fair value using a discounted cash flow model applied using a Monte Carlo simulation of estimated EBITDA at each measurement period and for each simulated path relative to contractual EBITDA milestones. The Monte Carlo simulation utilizes a risk-adjusted discount rate, volatility assumption, and risk-free rates to assess the probability Roar's EBITDA trajectory reaches required milestones for the earn out payments to be made. The discounted cash flow approach applies a company-specific discount rate based on F&amp;G credit profile to future expected earn out payments to calculate the estimated fair value based on the average outcome from the simulation. This contingent consideration is included in Level 3 and the inputs are considered unobservable, as not all market participants have access to this data. See further discussion on the contingent consideration in Note G </w:t>
      </w:r>
      <w:r>
        <w:rPr>
          <w:rFonts w:ascii="Times New Roman" w:cs="Times New Roman" w:eastAsia="Times New Roman" w:hAnsi="Times New Roman"/>
          <w:sz w:val="14"/>
          <w:szCs w:val="14"/>
          <w:i w:val="1"/>
          <w:iCs w:val="1"/>
          <w:color w:val="auto"/>
        </w:rPr>
        <w:t>Commitments and Contingencies.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Market Risk Benefits ("MRBs")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MRBs (inclusive of reinsured MRBs) are measured at fair value using an attributed fee measurement approach where attributed fees are explicit rider charges collectible from the policyholder (or paid to the reinsurer) used to cover the excess benefits. The fair value is calculated using a risk neutral valuation method and is based on current net amounts at risk, market data, internal and industry experience, and other factors. The balances are computed using assumptions including mortality, full and partial surrender, rider benefit utilization, risk-free rates including non-performance spread and risk margin, market value of options, and economic scenarios. Policyholder behavior assumptions are reviewed at least annually, typically in the third quarter, for any revisions. Reinsured MRBs are valued using a methodology consistent with direct MRBs, with the exception of the non-performance spread which reflects the credit of the reinsurer. See further discussion on MRBs in Note W </w:t>
      </w:r>
      <w:r>
        <w:rPr>
          <w:rFonts w:ascii="Times New Roman" w:cs="Times New Roman" w:eastAsia="Times New Roman" w:hAnsi="Times New Roman"/>
          <w:sz w:val="14"/>
          <w:szCs w:val="14"/>
          <w:i w:val="1"/>
          <w:iCs w:val="1"/>
          <w:color w:val="auto"/>
        </w:rPr>
        <w:t>Market Risk Benefits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ind w:left="20" w:firstLine="255"/>
        <w:spacing w:after="0" w:line="254" w:lineRule="auto"/>
        <w:rPr>
          <w:sz w:val="20"/>
          <w:szCs w:val="20"/>
          <w:color w:val="auto"/>
        </w:rPr>
      </w:pPr>
      <w:r>
        <w:rPr>
          <w:rFonts w:ascii="Times New Roman" w:cs="Times New Roman" w:eastAsia="Times New Roman" w:hAnsi="Times New Roman"/>
          <w:sz w:val="14"/>
          <w:szCs w:val="14"/>
          <w:color w:val="auto"/>
        </w:rPr>
        <w:t>Quantitative information regarding significant unobservable inputs used for recurring Level 3 fair value measurements of financial instruments carried at fair value as of December 31, 2025 and 2024, excluding assets and liabilities for which significant quantitative unobservable inputs are not developed internally and not readily available to the Company (primarily those valued using broker quotes and certain third-party pricing services),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jc w:val="center"/>
              <w:ind w:left="26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Range (Weighted average)</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4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42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17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320" w:type="dxa"/>
            <w:vAlign w:val="bottom"/>
          </w:tcPr>
          <w:p>
            <w:pPr>
              <w:spacing w:after="0"/>
              <w:rPr>
                <w:sz w:val="15"/>
                <w:szCs w:val="15"/>
                <w:color w:val="auto"/>
              </w:rPr>
            </w:pPr>
          </w:p>
        </w:tc>
        <w:tc>
          <w:tcPr>
            <w:tcW w:w="2060" w:type="dxa"/>
            <w:vAlign w:val="bottom"/>
          </w:tcPr>
          <w:p>
            <w:pPr>
              <w:ind w:left="4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106"/>
        </w:trPr>
        <w:tc>
          <w:tcPr>
            <w:tcW w:w="40" w:type="dxa"/>
            <w:vAlign w:val="bottom"/>
            <w:tcBorders>
              <w:right w:val="single" w:sz="8" w:color="CCEEFF"/>
            </w:tcBorders>
          </w:tcPr>
          <w:p>
            <w:pPr>
              <w:spacing w:after="0"/>
              <w:rPr>
                <w:sz w:val="9"/>
                <w:szCs w:val="9"/>
                <w:color w:val="auto"/>
              </w:rPr>
            </w:pPr>
          </w:p>
        </w:tc>
        <w:tc>
          <w:tcPr>
            <w:tcW w:w="3540" w:type="dxa"/>
            <w:vAlign w:val="bottom"/>
            <w:tcBorders>
              <w:top w:val="single" w:sz="8" w:color="CCEEFF"/>
            </w:tcBorders>
            <w:gridSpan w:val="3"/>
            <w:shd w:val="clear" w:color="auto" w:fill="CCEEFF"/>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2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8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20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40" w:type="dxa"/>
            <w:vAlign w:val="bottom"/>
            <w:tcBorders>
              <w:right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240" w:type="dxa"/>
            <w:vAlign w:val="bottom"/>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4.36%</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- 7.15% (5.80%)</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5.50%</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- 100.00% (98.73%)</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Corporates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661</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3.45%</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- 8.68% (5.84%)</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5.41%-5.41% (5.41%)</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Foreign Governments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5.73%</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- 5.73% (5.73%)</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Municipals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4.94%</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- 4.94% (4.94%)</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7.4x - 15.5x (12.10x)</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Preferred equity securities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 - 100.00% (100.00%)</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securities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8.10%</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- 14.00% (14.29%)</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Market Comparable Company Analysis</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4.8x - 6.7x (5.5x)</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MSRs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6.38%</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- 10.69% (8.00%)</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Conditional Prepayment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5.85%</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-13.65% (7.77%)</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Black Scholes Model</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Value of AnchorPath Fund</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Reinsurance recoverable:</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ind w:left="160"/>
              <w:spacing w:after="0"/>
              <w:rPr>
                <w:sz w:val="20"/>
                <w:szCs w:val="20"/>
                <w:color w:val="auto"/>
              </w:rPr>
            </w:pPr>
            <w:r>
              <w:rPr>
                <w:rFonts w:ascii="Times New Roman" w:cs="Times New Roman" w:eastAsia="Times New Roman" w:hAnsi="Times New Roman"/>
                <w:sz w:val="11"/>
                <w:szCs w:val="11"/>
                <w:color w:val="auto"/>
              </w:rPr>
              <w:t>Indexed annuities/IUL ceded embedded derivatives</w:t>
            </w:r>
          </w:p>
        </w:tc>
        <w:tc>
          <w:tcPr>
            <w:tcW w:w="124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w:t>
            </w:r>
          </w:p>
        </w:tc>
        <w:tc>
          <w:tcPr>
            <w:tcW w:w="10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0.00%</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- 31.77% (2.74%)</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 - 115.00% (100.00%)</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- 50.00% (3.33%)</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- 6.50% (2.22%)</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0.53%</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- 1.15% (0.90%)</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 Cost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1.39%</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- 5.30% (1.98%)</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Loan receivable</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Risk-Adjusted 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6.35%</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- 6.35% (6.35%)</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Collateral Volatility</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35.00% - 35.00% (35.00%)</w:t>
            </w:r>
          </w:p>
        </w:tc>
        <w:tc>
          <w:tcPr>
            <w:tcW w:w="0" w:type="dxa"/>
            <w:vAlign w:val="bottom"/>
          </w:tcPr>
          <w:p>
            <w:pPr>
              <w:spacing w:after="0"/>
              <w:rPr>
                <w:sz w:val="1"/>
                <w:szCs w:val="1"/>
                <w:color w:val="auto"/>
              </w:rPr>
            </w:pPr>
          </w:p>
        </w:tc>
      </w:tr>
      <w:tr>
        <w:trPr>
          <w:trHeight w:val="172"/>
        </w:trPr>
        <w:tc>
          <w:tcPr>
            <w:tcW w:w="40" w:type="dxa"/>
            <w:vAlign w:val="bottom"/>
            <w:tcBorders>
              <w:right w:val="single" w:sz="8" w:color="CCEEFF"/>
            </w:tcBorders>
          </w:tcPr>
          <w:p>
            <w:pPr>
              <w:spacing w:after="0"/>
              <w:rPr>
                <w:sz w:val="14"/>
                <w:szCs w:val="14"/>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 - 115.00% (100.00%)</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- 30.00% (5.33%)</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 Rates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0.00%</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- 25.64% (2.47%)</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0.43%</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- 0.85% (0.64%)</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GMWB Utilization</w:t>
            </w:r>
          </w:p>
        </w:tc>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50.00% - 75.00% (63.03%)</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Total financial assets at fair value (a)</w:t>
            </w:r>
          </w:p>
        </w:tc>
        <w:tc>
          <w:tcPr>
            <w:tcW w:w="124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1,933</w:t>
            </w: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
        </w:trPr>
        <w:tc>
          <w:tcPr>
            <w:tcW w:w="40" w:type="dxa"/>
            <w:vAlign w:val="bottom"/>
            <w:tcBorders>
              <w:right w:val="single" w:sz="8" w:color="CCEEFF"/>
            </w:tcBorders>
          </w:tcPr>
          <w:p>
            <w:pPr>
              <w:spacing w:after="0"/>
              <w:rPr>
                <w:sz w:val="6"/>
                <w:szCs w:val="6"/>
                <w:color w:val="auto"/>
              </w:rPr>
            </w:pPr>
          </w:p>
        </w:tc>
        <w:tc>
          <w:tcPr>
            <w:tcW w:w="3540" w:type="dxa"/>
            <w:vAlign w:val="bottom"/>
            <w:gridSpan w:val="3"/>
            <w:shd w:val="clear" w:color="auto" w:fill="CCEEFF"/>
          </w:tcPr>
          <w:p>
            <w:pPr>
              <w:spacing w:after="0" w:line="78" w:lineRule="exact"/>
              <w:rPr>
                <w:sz w:val="20"/>
                <w:szCs w:val="20"/>
                <w:color w:val="auto"/>
              </w:rPr>
            </w:pPr>
            <w:r>
              <w:rPr>
                <w:rFonts w:ascii="Times New Roman" w:cs="Times New Roman" w:eastAsia="Times New Roman" w:hAnsi="Times New Roman"/>
                <w:sz w:val="9"/>
                <w:szCs w:val="9"/>
                <w:b w:val="1"/>
                <w:bCs w:val="1"/>
                <w:color w:val="auto"/>
              </w:rPr>
              <w:t>Liabilities</w:t>
            </w:r>
          </w:p>
        </w:tc>
        <w:tc>
          <w:tcPr>
            <w:tcW w:w="1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0" w:type="dxa"/>
            <w:vAlign w:val="bottom"/>
            <w:tcBorders>
              <w:right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Derivatives:</w:t>
            </w: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0" w:type="dxa"/>
            <w:vAlign w:val="bottom"/>
            <w:tcBorders>
              <w:right w:val="single" w:sz="8" w:color="CCEEFF"/>
            </w:tcBorders>
          </w:tcPr>
          <w:p>
            <w:pPr>
              <w:spacing w:after="0"/>
              <w:rPr>
                <w:sz w:val="9"/>
                <w:szCs w:val="9"/>
                <w:color w:val="auto"/>
              </w:rPr>
            </w:pPr>
          </w:p>
        </w:tc>
        <w:tc>
          <w:tcPr>
            <w:tcW w:w="3540" w:type="dxa"/>
            <w:vAlign w:val="bottom"/>
            <w:gridSpan w:val="3"/>
            <w:shd w:val="clear" w:color="auto" w:fill="CCEEFF"/>
          </w:tcPr>
          <w:p>
            <w:pPr>
              <w:ind w:left="160"/>
              <w:spacing w:after="0" w:line="113" w:lineRule="exact"/>
              <w:rPr>
                <w:sz w:val="20"/>
                <w:szCs w:val="20"/>
                <w:color w:val="auto"/>
              </w:rPr>
            </w:pPr>
            <w:r>
              <w:rPr>
                <w:rFonts w:ascii="Times New Roman" w:cs="Times New Roman" w:eastAsia="Times New Roman" w:hAnsi="Times New Roman"/>
                <w:sz w:val="11"/>
                <w:szCs w:val="11"/>
                <w:color w:val="auto"/>
              </w:rPr>
              <w:t>Indexed annuities/ IUL embedded derivatives, included in Contractholder</w:t>
            </w:r>
          </w:p>
        </w:tc>
        <w:tc>
          <w:tcPr>
            <w:tcW w:w="1240" w:type="dxa"/>
            <w:vAlign w:val="bottom"/>
            <w:vMerge w:val="restart"/>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6,542</w:t>
            </w:r>
          </w:p>
        </w:tc>
        <w:tc>
          <w:tcPr>
            <w:tcW w:w="100" w:type="dxa"/>
            <w:vAlign w:val="bottom"/>
            <w:shd w:val="clear" w:color="auto" w:fill="CCEEFF"/>
          </w:tcPr>
          <w:p>
            <w:pPr>
              <w:spacing w:after="0"/>
              <w:rPr>
                <w:sz w:val="9"/>
                <w:szCs w:val="9"/>
                <w:color w:val="auto"/>
              </w:rPr>
            </w:pPr>
          </w:p>
        </w:tc>
        <w:tc>
          <w:tcPr>
            <w:tcW w:w="19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7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0.00%</w:t>
            </w:r>
          </w:p>
        </w:tc>
        <w:tc>
          <w:tcPr>
            <w:tcW w:w="2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- 40.13% (3.84%)</w:t>
            </w:r>
          </w:p>
        </w:tc>
        <w:tc>
          <w:tcPr>
            <w:tcW w:w="0" w:type="dxa"/>
            <w:vAlign w:val="bottom"/>
          </w:tcPr>
          <w:p>
            <w:pPr>
              <w:spacing w:after="0"/>
              <w:rPr>
                <w:sz w:val="1"/>
                <w:szCs w:val="1"/>
                <w:color w:val="auto"/>
              </w:rPr>
            </w:pPr>
          </w:p>
        </w:tc>
      </w:tr>
      <w:tr>
        <w:trPr>
          <w:trHeight w:val="159"/>
        </w:trPr>
        <w:tc>
          <w:tcPr>
            <w:tcW w:w="40" w:type="dxa"/>
            <w:vAlign w:val="bottom"/>
            <w:tcBorders>
              <w:right w:val="single" w:sz="8" w:color="CCEEFF"/>
            </w:tcBorders>
          </w:tcPr>
          <w:p>
            <w:pPr>
              <w:spacing w:after="0"/>
              <w:rPr>
                <w:sz w:val="13"/>
                <w:szCs w:val="13"/>
                <w:color w:val="auto"/>
              </w:rPr>
            </w:pPr>
          </w:p>
        </w:tc>
        <w:tc>
          <w:tcPr>
            <w:tcW w:w="3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funds</w:t>
            </w:r>
          </w:p>
        </w:tc>
        <w:tc>
          <w:tcPr>
            <w:tcW w:w="1240" w:type="dxa"/>
            <w:vAlign w:val="bottom"/>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gridSpan w:val="2"/>
            <w:vMerge w:val="continue"/>
            <w:shd w:val="clear" w:color="auto" w:fill="CCEEFF"/>
          </w:tcPr>
          <w:p>
            <w:pPr>
              <w:spacing w:after="0"/>
              <w:rPr>
                <w:sz w:val="13"/>
                <w:szCs w:val="13"/>
                <w:color w:val="auto"/>
              </w:rPr>
            </w:pPr>
          </w:p>
        </w:tc>
        <w:tc>
          <w:tcPr>
            <w:tcW w:w="1740" w:type="dxa"/>
            <w:vAlign w:val="bottom"/>
            <w:gridSpan w:val="2"/>
            <w:vMerge w:val="continue"/>
            <w:shd w:val="clear" w:color="auto" w:fill="CCEEFF"/>
          </w:tcPr>
          <w:p>
            <w:pPr>
              <w:spacing w:after="0"/>
              <w:rPr>
                <w:sz w:val="13"/>
                <w:szCs w:val="13"/>
                <w:color w:val="auto"/>
              </w:rPr>
            </w:pPr>
          </w:p>
        </w:tc>
        <w:tc>
          <w:tcPr>
            <w:tcW w:w="320" w:type="dxa"/>
            <w:vAlign w:val="bottom"/>
            <w:vMerge w:val="continue"/>
            <w:shd w:val="clear" w:color="auto" w:fill="CCEEFF"/>
          </w:tcPr>
          <w:p>
            <w:pPr>
              <w:spacing w:after="0"/>
              <w:rPr>
                <w:sz w:val="13"/>
                <w:szCs w:val="13"/>
                <w:color w:val="auto"/>
              </w:rPr>
            </w:pPr>
          </w:p>
        </w:tc>
        <w:tc>
          <w:tcPr>
            <w:tcW w:w="2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80.00% - 115.00% (100.00%)</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- 50.00% (6.68%)</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- 35.71% (2.69%)</w:t>
            </w:r>
          </w:p>
        </w:tc>
        <w:tc>
          <w:tcPr>
            <w:tcW w:w="0" w:type="dxa"/>
            <w:vAlign w:val="bottom"/>
          </w:tcPr>
          <w:p>
            <w:pPr>
              <w:spacing w:after="0"/>
              <w:rPr>
                <w:sz w:val="1"/>
                <w:szCs w:val="1"/>
                <w:color w:val="auto"/>
              </w:rPr>
            </w:pPr>
          </w:p>
        </w:tc>
      </w:tr>
      <w:tr>
        <w:trPr>
          <w:trHeight w:val="165"/>
        </w:trPr>
        <w:tc>
          <w:tcPr>
            <w:tcW w:w="40" w:type="dxa"/>
            <w:vAlign w:val="bottom"/>
            <w:tcBorders>
              <w:right w:val="single" w:sz="8" w:color="CCEEFF"/>
            </w:tcBorders>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0.43%</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- 0.85% (0.64%)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Option Cost</w:t>
            </w:r>
          </w:p>
        </w:tc>
        <w:tc>
          <w:tcPr>
            <w:tcW w:w="5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98"/>
              </w:rPr>
              <w:t>0.50%</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- 6.09% (2.78%)</w:t>
            </w:r>
          </w:p>
        </w:tc>
      </w:tr>
      <w:tr>
        <w:trPr>
          <w:trHeight w:val="16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consideration</w:t>
            </w: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1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2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Risk-Adjusted Discount Rate</w:t>
            </w:r>
          </w:p>
        </w:tc>
        <w:tc>
          <w:tcPr>
            <w:tcW w:w="2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11.50% - 11.50% (11.50%)</w:t>
            </w:r>
          </w:p>
        </w:tc>
      </w:tr>
      <w:tr>
        <w:trPr>
          <w:trHeight w:val="153"/>
        </w:trPr>
        <w:tc>
          <w:tcPr>
            <w:tcW w:w="3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EBITDA Volatility</w:t>
            </w: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35% - 35% (35%)</w:t>
            </w:r>
          </w:p>
        </w:tc>
      </w:tr>
      <w:tr>
        <w:trPr>
          <w:trHeight w:val="165"/>
        </w:trPr>
        <w:tc>
          <w:tcPr>
            <w:tcW w:w="3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Counterparty Discount Rate</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98"/>
              </w:rPr>
              <w:t>6.30%</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- 6.30% (6.30%)</w:t>
            </w:r>
          </w:p>
        </w:tc>
      </w:tr>
      <w:tr>
        <w:trPr>
          <w:trHeight w:val="153"/>
        </w:trPr>
        <w:tc>
          <w:tcPr>
            <w:tcW w:w="35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6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903</w:t>
            </w:r>
          </w:p>
        </w:tc>
        <w:tc>
          <w:tcPr>
            <w:tcW w:w="16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20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Mortality</w:t>
            </w:r>
          </w:p>
        </w:tc>
        <w:tc>
          <w:tcPr>
            <w:tcW w:w="25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80.00% - 115.00% (100.00%)</w:t>
            </w:r>
          </w:p>
        </w:tc>
      </w:tr>
      <w:tr>
        <w:trPr>
          <w:trHeight w:val="165"/>
        </w:trPr>
        <w:tc>
          <w:tcPr>
            <w:tcW w:w="3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Surrender Rates</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98"/>
              </w:rPr>
              <w:t>0.25%</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- 30.00% (5.33%)</w:t>
            </w:r>
          </w:p>
        </w:tc>
      </w:tr>
      <w:tr>
        <w:trPr>
          <w:trHeight w:val="153"/>
        </w:trPr>
        <w:tc>
          <w:tcPr>
            <w:tcW w:w="3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0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Partial Withdrawal Rates</w:t>
            </w:r>
          </w:p>
        </w:tc>
        <w:tc>
          <w:tcPr>
            <w:tcW w:w="500" w:type="dxa"/>
            <w:vAlign w:val="bottom"/>
          </w:tcPr>
          <w:p>
            <w:pPr>
              <w:ind w:left="200"/>
              <w:spacing w:after="0"/>
              <w:rPr>
                <w:sz w:val="20"/>
                <w:szCs w:val="20"/>
                <w:color w:val="auto"/>
              </w:rPr>
            </w:pPr>
            <w:r>
              <w:rPr>
                <w:rFonts w:ascii="Times New Roman" w:cs="Times New Roman" w:eastAsia="Times New Roman" w:hAnsi="Times New Roman"/>
                <w:sz w:val="11"/>
                <w:szCs w:val="11"/>
                <w:color w:val="auto"/>
                <w:w w:val="98"/>
              </w:rPr>
              <w:t>0.00%</w:t>
            </w:r>
          </w:p>
        </w:tc>
        <w:tc>
          <w:tcPr>
            <w:tcW w:w="2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- 25.64% (2.47%)</w:t>
            </w:r>
          </w:p>
        </w:tc>
      </w:tr>
      <w:tr>
        <w:trPr>
          <w:trHeight w:val="165"/>
        </w:trPr>
        <w:tc>
          <w:tcPr>
            <w:tcW w:w="3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2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Non-Performance Spread</w:t>
            </w:r>
          </w:p>
        </w:tc>
        <w:tc>
          <w:tcPr>
            <w:tcW w:w="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98"/>
              </w:rPr>
              <w:t>0.43%</w:t>
            </w:r>
          </w:p>
        </w:tc>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- 0.85% (0.64%)</w:t>
            </w:r>
          </w:p>
        </w:tc>
      </w:tr>
      <w:tr>
        <w:trPr>
          <w:trHeight w:val="153"/>
        </w:trPr>
        <w:tc>
          <w:tcPr>
            <w:tcW w:w="35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600" w:type="dxa"/>
            <w:vAlign w:val="bottom"/>
            <w:tcBorders>
              <w:bottom w:val="single" w:sz="8" w:color="CCEEFF"/>
            </w:tcBorders>
          </w:tcPr>
          <w:p>
            <w:pPr>
              <w:spacing w:after="0"/>
              <w:rPr>
                <w:sz w:val="13"/>
                <w:szCs w:val="13"/>
                <w:color w:val="auto"/>
              </w:rPr>
            </w:pPr>
          </w:p>
        </w:tc>
        <w:tc>
          <w:tcPr>
            <w:tcW w:w="2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1"/>
                <w:szCs w:val="11"/>
                <w:color w:val="auto"/>
              </w:rPr>
              <w:t>GMWB Utilization</w:t>
            </w:r>
          </w:p>
        </w:tc>
        <w:tc>
          <w:tcPr>
            <w:tcW w:w="25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1"/>
                <w:szCs w:val="11"/>
                <w:color w:val="auto"/>
              </w:rPr>
              <w:t>50.00% - 75.00% (63.03%)</w:t>
            </w:r>
          </w:p>
        </w:tc>
      </w:tr>
      <w:tr>
        <w:trPr>
          <w:trHeight w:val="181"/>
        </w:trPr>
        <w:tc>
          <w:tcPr>
            <w:tcW w:w="3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6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7,517</w:t>
            </w:r>
          </w:p>
        </w:tc>
        <w:tc>
          <w:tcPr>
            <w:tcW w:w="160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60" w:type="dxa"/>
            <w:vAlign w:val="bottom"/>
            <w:tcBorders>
              <w:bottom w:val="single" w:sz="8" w:color="CCEEFF"/>
            </w:tcBorders>
            <w:shd w:val="clear" w:color="auto" w:fill="CCEEFF"/>
          </w:tcPr>
          <w:p>
            <w:pPr>
              <w:spacing w:after="0"/>
              <w:rPr>
                <w:sz w:val="15"/>
                <w:szCs w:val="15"/>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57" w:lineRule="exact"/>
        <w:rPr>
          <w:sz w:val="20"/>
          <w:szCs w:val="20"/>
          <w:color w:val="auto"/>
        </w:rPr>
      </w:pPr>
    </w:p>
    <w:p>
      <w:pPr>
        <w:ind w:firstLine="5"/>
        <w:spacing w:after="0" w:line="280" w:lineRule="auto"/>
        <w:tabs>
          <w:tab w:leader="none" w:pos="154"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Assets of $12,597 million and liabilities of $9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4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Fair Value at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4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Range (Weighted average)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340" w:type="dxa"/>
            <w:vAlign w:val="bottom"/>
          </w:tcPr>
          <w:p>
            <w:pPr>
              <w:jc w:val="center"/>
              <w:ind w:left="2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38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320" w:type="dxa"/>
            <w:vAlign w:val="bottom"/>
          </w:tcPr>
          <w:p>
            <w:pPr>
              <w:spacing w:after="0"/>
              <w:rPr>
                <w:sz w:val="15"/>
                <w:szCs w:val="15"/>
                <w:color w:val="auto"/>
              </w:rPr>
            </w:pPr>
          </w:p>
        </w:tc>
        <w:tc>
          <w:tcPr>
            <w:tcW w:w="2300" w:type="dxa"/>
            <w:vAlign w:val="bottom"/>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40" w:type="dxa"/>
            <w:vAlign w:val="bottom"/>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Assets</w:t>
            </w:r>
          </w:p>
        </w:tc>
        <w:tc>
          <w:tcPr>
            <w:tcW w:w="13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3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Asset-backed securities</w:t>
            </w:r>
          </w:p>
        </w:tc>
        <w:tc>
          <w:tcPr>
            <w:tcW w:w="1340" w:type="dxa"/>
            <w:vAlign w:val="bottom"/>
            <w:shd w:val="clear" w:color="auto" w:fill="CCEEFF"/>
          </w:tcPr>
          <w:p>
            <w:pPr>
              <w:jc w:val="right"/>
              <w:ind w:right="1223"/>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100" w:type="dxa"/>
            <w:vAlign w:val="bottom"/>
            <w:shd w:val="clear" w:color="auto" w:fill="CCEEFF"/>
          </w:tcPr>
          <w:p>
            <w:pPr>
              <w:spacing w:after="0"/>
              <w:rPr>
                <w:sz w:val="13"/>
                <w:szCs w:val="13"/>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4.83%</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- 7.15% (6.33%)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40" w:type="dxa"/>
            <w:vAlign w:val="bottom"/>
          </w:tcPr>
          <w:p>
            <w:pPr>
              <w:spacing w:after="0"/>
              <w:rPr>
                <w:sz w:val="13"/>
                <w:szCs w:val="13"/>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750</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- 22.53% (6.76%)</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Corporates</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13.33% - 100.00% (96.45%)</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340" w:type="dxa"/>
            <w:vAlign w:val="bottom"/>
          </w:tcPr>
          <w:p>
            <w:pPr>
              <w:spacing w:after="0"/>
              <w:rPr>
                <w:sz w:val="13"/>
                <w:szCs w:val="13"/>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5.89%</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- 5.89% (5.89%)</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Foreign Governments</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Third-Party Valuation</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12.14% - 12.14% (12.14%)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340" w:type="dxa"/>
            <w:vAlign w:val="bottom"/>
          </w:tcPr>
          <w:p>
            <w:pPr>
              <w:spacing w:after="0"/>
              <w:rPr>
                <w:sz w:val="9"/>
                <w:szCs w:val="9"/>
                <w:color w:val="auto"/>
              </w:rPr>
            </w:pPr>
          </w:p>
        </w:tc>
        <w:tc>
          <w:tcPr>
            <w:tcW w:w="3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100" w:type="dxa"/>
            <w:vAlign w:val="bottom"/>
          </w:tcPr>
          <w:p>
            <w:pPr>
              <w:spacing w:after="0"/>
              <w:rPr>
                <w:sz w:val="9"/>
                <w:szCs w:val="9"/>
                <w:color w:val="auto"/>
              </w:rPr>
            </w:pPr>
          </w:p>
        </w:tc>
        <w:tc>
          <w:tcPr>
            <w:tcW w:w="184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Market Comparable Company</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8.7x - 23.6x (14.6x)</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Analysis</w:t>
            </w:r>
          </w:p>
        </w:tc>
        <w:tc>
          <w:tcPr>
            <w:tcW w:w="1620" w:type="dxa"/>
            <w:vAlign w:val="bottom"/>
            <w:gridSpan w:val="2"/>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Preferred equity securities</w:t>
            </w:r>
          </w:p>
        </w:tc>
        <w:tc>
          <w:tcPr>
            <w:tcW w:w="1340" w:type="dxa"/>
            <w:vAlign w:val="bottom"/>
          </w:tcPr>
          <w:p>
            <w:pPr>
              <w:spacing w:after="0"/>
              <w:rPr>
                <w:sz w:val="13"/>
                <w:szCs w:val="13"/>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100.00% -100.00% (100.00%)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equity securities</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4.80%</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- 14.10% (9.40%)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Market Comparable Company</w:t>
            </w: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EBITDA multiple</w:t>
            </w:r>
          </w:p>
        </w:tc>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5.8x - 7.5x (7.0x)</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Analysis</w:t>
            </w:r>
          </w:p>
        </w:tc>
        <w:tc>
          <w:tcPr>
            <w:tcW w:w="1620" w:type="dxa"/>
            <w:vAlign w:val="bottom"/>
            <w:gridSpan w:val="2"/>
            <w:vMerge w:val="continue"/>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Discount Rate</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10.60% - 12.00% (11.30%)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Conditional Prepayment Rate</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6.24%</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- 11.99% (9.12%)</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340" w:type="dxa"/>
            <w:vAlign w:val="bottom"/>
          </w:tcPr>
          <w:p>
            <w:pPr>
              <w:spacing w:after="0"/>
              <w:rPr>
                <w:sz w:val="9"/>
                <w:szCs w:val="9"/>
                <w:color w:val="auto"/>
              </w:rPr>
            </w:pPr>
          </w:p>
        </w:tc>
        <w:tc>
          <w:tcPr>
            <w:tcW w:w="3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9"/>
                <w:szCs w:val="9"/>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Black Scholes Model</w:t>
            </w:r>
          </w:p>
        </w:tc>
        <w:tc>
          <w:tcPr>
            <w:tcW w:w="1620" w:type="dxa"/>
            <w:vAlign w:val="bottom"/>
            <w:gridSpan w:val="2"/>
          </w:tcPr>
          <w:p>
            <w:pPr>
              <w:ind w:left="20"/>
              <w:spacing w:after="0" w:line="110" w:lineRule="exact"/>
              <w:rPr>
                <w:sz w:val="20"/>
                <w:szCs w:val="20"/>
                <w:color w:val="auto"/>
              </w:rPr>
            </w:pPr>
            <w:r>
              <w:rPr>
                <w:rFonts w:ascii="Times New Roman" w:cs="Times New Roman" w:eastAsia="Times New Roman" w:hAnsi="Times New Roman"/>
                <w:sz w:val="11"/>
                <w:szCs w:val="11"/>
                <w:color w:val="auto"/>
              </w:rPr>
              <w:t>Market Value of AnchorPath</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100%</w:t>
            </w: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Fund</w:t>
            </w:r>
          </w:p>
        </w:tc>
        <w:tc>
          <w:tcPr>
            <w:tcW w:w="32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Reinsurance recoverable:</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Indexed annuities/IUL ceded embedded derivatives</w:t>
            </w:r>
          </w:p>
        </w:tc>
        <w:tc>
          <w:tcPr>
            <w:tcW w:w="1340" w:type="dxa"/>
            <w:vAlign w:val="bottom"/>
          </w:tcPr>
          <w:p>
            <w:pPr>
              <w:spacing w:after="0"/>
              <w:rPr>
                <w:sz w:val="13"/>
                <w:szCs w:val="13"/>
                <w:color w:val="auto"/>
              </w:rPr>
            </w:pPr>
          </w:p>
        </w:tc>
        <w:tc>
          <w:tcPr>
            <w:tcW w:w="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tcPr>
          <w:p>
            <w:pPr>
              <w:spacing w:after="0"/>
              <w:rPr>
                <w:sz w:val="13"/>
                <w:szCs w:val="13"/>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Value of Option</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0.35%</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- 2.53% (1.39%)</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 Multiplier</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 - 115.00% (100.00%)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- 50.00% (3.24%)</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Partial Withdrawals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2.00%</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- 5.00% (2.13%)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Non-Performance Spread</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0.48%</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- 0.95% (0.75%)</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 Cost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1.40%</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- 1.40% (1.40%)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Loan receivable</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Risk-Adjusted Discount Rate</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7.22%</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- 7.22% (7.22%)</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Collateral Volatility</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35.00% -35.00% (35.00%)</w:t>
            </w: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Market risk benefits asset</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Discounted Cash Flow</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Mortality</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80.00% - 115.00% (100.00%)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Surrender Rates</w:t>
            </w:r>
          </w:p>
        </w:tc>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0.25%</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- 30.00% (5.05%)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33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1"/>
                <w:szCs w:val="11"/>
                <w:color w:val="auto"/>
              </w:rPr>
              <w:t>Partial Withdrawal Rates</w:t>
            </w:r>
          </w:p>
        </w:tc>
        <w:tc>
          <w:tcPr>
            <w:tcW w:w="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98"/>
              </w:rPr>
              <w:t>2.00%</w:t>
            </w:r>
          </w:p>
        </w:tc>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- 24.39% (2.48%)</w:t>
            </w:r>
          </w:p>
        </w:tc>
      </w:tr>
      <w:tr>
        <w:trPr>
          <w:trHeight w:val="153"/>
        </w:trPr>
        <w:tc>
          <w:tcPr>
            <w:tcW w:w="3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340" w:type="dxa"/>
            <w:vAlign w:val="bottom"/>
          </w:tcPr>
          <w:p>
            <w:pPr>
              <w:ind w:left="1960"/>
              <w:spacing w:after="0"/>
              <w:rPr>
                <w:sz w:val="20"/>
                <w:szCs w:val="20"/>
                <w:color w:val="auto"/>
              </w:rPr>
            </w:pPr>
            <w:r>
              <w:rPr>
                <w:rFonts w:ascii="Times New Roman" w:cs="Times New Roman" w:eastAsia="Times New Roman" w:hAnsi="Times New Roman"/>
                <w:sz w:val="11"/>
                <w:szCs w:val="11"/>
                <w:color w:val="auto"/>
              </w:rPr>
              <w:t>Non-Performance Spread</w:t>
            </w:r>
          </w:p>
        </w:tc>
        <w:tc>
          <w:tcPr>
            <w:tcW w:w="5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98"/>
              </w:rPr>
              <w:t>0.48%</w:t>
            </w:r>
          </w:p>
        </w:tc>
        <w:tc>
          <w:tcPr>
            <w:tcW w:w="23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- 0.95% (0.75%)</w:t>
            </w:r>
          </w:p>
        </w:tc>
      </w:tr>
      <w:tr>
        <w:trPr>
          <w:trHeight w:val="159"/>
        </w:trPr>
        <w:tc>
          <w:tcPr>
            <w:tcW w:w="3460" w:type="dxa"/>
            <w:vAlign w:val="bottom"/>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spacing w:after="0"/>
              <w:rPr>
                <w:sz w:val="13"/>
                <w:szCs w:val="13"/>
                <w:color w:val="auto"/>
              </w:rPr>
            </w:pPr>
          </w:p>
        </w:tc>
        <w:tc>
          <w:tcPr>
            <w:tcW w:w="334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1"/>
                <w:szCs w:val="11"/>
                <w:color w:val="auto"/>
              </w:rPr>
              <w:t>GMWB Utilization</w:t>
            </w:r>
          </w:p>
        </w:tc>
        <w:tc>
          <w:tcPr>
            <w:tcW w:w="2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50.00% - 75.00% (61.77%)</w:t>
            </w:r>
          </w:p>
        </w:tc>
      </w:tr>
    </w:tbl>
    <w:p>
      <w:pPr>
        <w:ind w:left="20"/>
        <w:spacing w:after="0"/>
        <w:tabs>
          <w:tab w:leader="none" w:pos="3440" w:val="left"/>
          <w:tab w:leader="none" w:pos="4780" w:val="left"/>
        </w:tabs>
        <w:rPr>
          <w:sz w:val="20"/>
          <w:szCs w:val="20"/>
          <w:color w:val="auto"/>
        </w:rPr>
      </w:pPr>
      <w:r>
        <w:rPr>
          <w:rFonts w:ascii="Times New Roman" w:cs="Times New Roman" w:eastAsia="Times New Roman" w:hAnsi="Times New Roman"/>
          <w:sz w:val="11"/>
          <w:szCs w:val="11"/>
          <w:color w:val="auto"/>
        </w:rPr>
        <w:t>Total financial assets at fair value (a)</w:t>
      </w:r>
      <w:r>
        <w:rPr>
          <w:sz w:val="20"/>
          <w:szCs w:val="20"/>
          <w:color w:val="auto"/>
        </w:rPr>
        <w:tab/>
      </w:r>
      <w:r>
        <w:rPr>
          <w:rFonts w:ascii="Times New Roman" w:cs="Times New Roman" w:eastAsia="Times New Roman" w:hAnsi="Times New Roman"/>
          <w:sz w:val="21"/>
          <w:szCs w:val="21"/>
          <w:color w:val="auto"/>
          <w:vertAlign w:val="superscript"/>
        </w:rPr>
        <w:t>$</w:t>
      </w:r>
      <w:r>
        <w:rPr>
          <w:sz w:val="20"/>
          <w:szCs w:val="20"/>
          <w:color w:val="auto"/>
        </w:rPr>
        <w:tab/>
      </w:r>
      <w:r>
        <w:rPr>
          <w:rFonts w:ascii="Times New Roman" w:cs="Times New Roman" w:eastAsia="Times New Roman" w:hAnsi="Times New Roman"/>
          <w:sz w:val="16"/>
          <w:szCs w:val="16"/>
          <w:color w:val="auto"/>
          <w:vertAlign w:val="superscript"/>
        </w:rPr>
        <w:t>1,531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61530" cy="114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u w:val="single" w:color="auto"/>
          <w:color w:val="auto"/>
        </w:rPr>
        <w:t>Liabilities</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Derivatives: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3440" w:type="dxa"/>
            <w:vAlign w:val="bottom"/>
          </w:tcPr>
          <w:p>
            <w:pPr>
              <w:spacing w:after="0"/>
              <w:rPr>
                <w:sz w:val="20"/>
                <w:szCs w:val="20"/>
                <w:color w:val="auto"/>
              </w:rPr>
            </w:pPr>
            <w:r>
              <w:rPr>
                <w:rFonts w:ascii="Times New Roman" w:cs="Times New Roman" w:eastAsia="Times New Roman" w:hAnsi="Times New Roman"/>
                <w:sz w:val="11"/>
                <w:szCs w:val="11"/>
                <w:color w:val="auto"/>
              </w:rPr>
              <w:t>Indexed annuities/IUL embedded derivatives, included in Contractholder</w:t>
            </w:r>
          </w:p>
        </w:tc>
        <w:tc>
          <w:tcPr>
            <w:tcW w:w="700" w:type="dxa"/>
            <w:vAlign w:val="bottom"/>
            <w:vMerge w:val="restart"/>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5,220</w:t>
            </w:r>
          </w:p>
        </w:tc>
        <w:tc>
          <w:tcPr>
            <w:tcW w:w="1560" w:type="dxa"/>
            <w:vAlign w:val="bottom"/>
            <w:vMerge w:val="restart"/>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17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auto"/>
              </w:rPr>
              <w:t>Market Value of Option</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20"/>
                <w:szCs w:val="20"/>
                <w:color w:val="auto"/>
              </w:rPr>
            </w:pPr>
            <w:r>
              <w:rPr>
                <w:rFonts w:ascii="Times New Roman" w:cs="Times New Roman" w:eastAsia="Times New Roman" w:hAnsi="Times New Roman"/>
                <w:sz w:val="11"/>
                <w:szCs w:val="11"/>
                <w:color w:val="auto"/>
              </w:rPr>
              <w:t>funds</w:t>
            </w: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Mortality Multiplier</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Surrender Rates</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Partial Withdrawals</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Non-Performance Spread</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Option Cost</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20"/>
                <w:szCs w:val="20"/>
                <w:color w:val="auto"/>
              </w:rPr>
            </w:pPr>
            <w:r>
              <w:rPr>
                <w:rFonts w:ascii="Times New Roman" w:cs="Times New Roman" w:eastAsia="Times New Roman" w:hAnsi="Times New Roman"/>
                <w:sz w:val="11"/>
                <w:szCs w:val="11"/>
                <w:color w:val="auto"/>
              </w:rPr>
              <w:t>Contingent consideration</w:t>
            </w:r>
          </w:p>
        </w:tc>
        <w:tc>
          <w:tcPr>
            <w:tcW w:w="7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Risk-Adjusted Discount Rate</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EBITDA Volatility</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Counterparty Discount Rate</w:t>
            </w:r>
          </w:p>
        </w:tc>
        <w:tc>
          <w:tcPr>
            <w:tcW w:w="0" w:type="dxa"/>
            <w:vAlign w:val="bottom"/>
          </w:tcPr>
          <w:p>
            <w:pPr>
              <w:spacing w:after="0"/>
              <w:rPr>
                <w:sz w:val="1"/>
                <w:szCs w:val="1"/>
                <w:color w:val="auto"/>
              </w:rPr>
            </w:pPr>
          </w:p>
        </w:tc>
      </w:tr>
      <w:tr>
        <w:trPr>
          <w:trHeight w:val="159"/>
        </w:trPr>
        <w:tc>
          <w:tcPr>
            <w:tcW w:w="3440" w:type="dxa"/>
            <w:vAlign w:val="bottom"/>
          </w:tcPr>
          <w:p>
            <w:pPr>
              <w:spacing w:after="0"/>
              <w:rPr>
                <w:sz w:val="20"/>
                <w:szCs w:val="20"/>
                <w:color w:val="auto"/>
              </w:rPr>
            </w:pPr>
            <w:r>
              <w:rPr>
                <w:rFonts w:ascii="Times New Roman" w:cs="Times New Roman" w:eastAsia="Times New Roman" w:hAnsi="Times New Roman"/>
                <w:sz w:val="11"/>
                <w:szCs w:val="11"/>
                <w:color w:val="auto"/>
              </w:rPr>
              <w:t>Market risk benefits liability</w:t>
            </w:r>
          </w:p>
        </w:tc>
        <w:tc>
          <w:tcPr>
            <w:tcW w:w="70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1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Discounted Cash Flow</w:t>
            </w: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Mortality</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Surrender Rates</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Partial Withdrawal Rates</w:t>
            </w:r>
          </w:p>
        </w:tc>
        <w:tc>
          <w:tcPr>
            <w:tcW w:w="0" w:type="dxa"/>
            <w:vAlign w:val="bottom"/>
          </w:tcPr>
          <w:p>
            <w:pPr>
              <w:spacing w:after="0"/>
              <w:rPr>
                <w:sz w:val="1"/>
                <w:szCs w:val="1"/>
                <w:color w:val="auto"/>
              </w:rPr>
            </w:pPr>
          </w:p>
        </w:tc>
      </w:tr>
      <w:tr>
        <w:trPr>
          <w:trHeight w:val="265"/>
        </w:trPr>
        <w:tc>
          <w:tcPr>
            <w:tcW w:w="3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Non-Performance Spread</w:t>
            </w: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GMWB Utilization</w:t>
            </w:r>
          </w:p>
        </w:tc>
        <w:tc>
          <w:tcPr>
            <w:tcW w:w="0" w:type="dxa"/>
            <w:vAlign w:val="bottom"/>
          </w:tcPr>
          <w:p>
            <w:pPr>
              <w:spacing w:after="0"/>
              <w:rPr>
                <w:sz w:val="1"/>
                <w:szCs w:val="1"/>
                <w:color w:val="auto"/>
              </w:rPr>
            </w:pPr>
          </w:p>
        </w:tc>
      </w:tr>
      <w:tr>
        <w:trPr>
          <w:trHeight w:val="159"/>
        </w:trPr>
        <w:tc>
          <w:tcPr>
            <w:tcW w:w="3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Total financial liabilities at fair value</w:t>
            </w:r>
          </w:p>
        </w:tc>
        <w:tc>
          <w:tcPr>
            <w:tcW w:w="70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5,843</w:t>
            </w:r>
          </w:p>
        </w:tc>
        <w:tc>
          <w:tcPr>
            <w:tcW w:w="15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-2087880</wp:posOffset>
            </wp:positionV>
            <wp:extent cx="7161530" cy="168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-1751330</wp:posOffset>
            </wp:positionV>
            <wp:extent cx="7161530" cy="1009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-1481455</wp:posOffset>
            </wp:positionV>
            <wp:extent cx="7161530" cy="168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-1144905</wp:posOffset>
            </wp:positionV>
            <wp:extent cx="7161530" cy="1009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-942340</wp:posOffset>
            </wp:positionV>
            <wp:extent cx="7161530" cy="1009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-740410</wp:posOffset>
            </wp:positionV>
            <wp:extent cx="7161530" cy="168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-403860</wp:posOffset>
            </wp:positionV>
            <wp:extent cx="7161530" cy="168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682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wp:posOffset>
            </wp:positionV>
            <wp:extent cx="7161530" cy="1212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0.00% - 20.81%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(2.92%)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80.00% - 115.00%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0.25% - 50.00% (6.94%)</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2.00% - 35.71%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(2.72%)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0.48% - 0.95%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(0.75%)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0.07% - 5.70%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(2.68%)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13.50% - 13.50% (13.50%)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35.00% - 35.00% (35.00%)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6.50% - 6.50% (6.50%)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80.00% - 115.00% (100.00%)</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0.25% - 30.00%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(5.05%)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2.00% - 24.39%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2.48%</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0.48% - 0.95%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(0.75%)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50.00% - 75.00% (61.77%)</w:t>
      </w:r>
    </w:p>
    <w:p>
      <w:pPr>
        <w:spacing w:after="0" w:line="372" w:lineRule="exact"/>
        <w:rPr>
          <w:sz w:val="20"/>
          <w:szCs w:val="20"/>
          <w:color w:val="auto"/>
        </w:rPr>
      </w:pPr>
    </w:p>
    <w:p>
      <w:pPr>
        <w:sectPr>
          <w:pgSz w:w="11900" w:h="16838" w:orient="portrait"/>
          <w:cols w:equalWidth="0" w:num="2">
            <w:col w:w="8380" w:space="300"/>
            <w:col w:w="2600"/>
          </w:cols>
          <w:pgMar w:left="300" w:top="125" w:right="319" w:bottom="1440" w:gutter="0" w:footer="0" w:header="0"/>
          <w:type w:val="continuous"/>
        </w:sectPr>
      </w:pPr>
    </w:p>
    <w:p>
      <w:pPr>
        <w:ind w:firstLine="5"/>
        <w:spacing w:after="0" w:line="280" w:lineRule="auto"/>
        <w:tabs>
          <w:tab w:leader="none" w:pos="154"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Assets of $10,301 million for which significant quantitative unobservable inputs are not developed internally and not readily available to the Company (primarily those valued using broker quotes and certain third-party pricing services) are excluded from the respective totals in the table above.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summarize changes to the Company’s financial instruments carried at fair value and classified within Level 3 of the fair value hierarchy for the years ended December 31, 2025 and 2024, respectively. The gains and losses below may include changes in fair value due in part to observable inputs that are a component of the valuation methodology.</w:t>
      </w:r>
    </w:p>
    <w:p>
      <w:pPr>
        <w:spacing w:after="0" w:line="24"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p>
      <w:pPr>
        <w:spacing w:after="0" w:line="33"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1"/>
          <w:szCs w:val="11"/>
          <w:b w:val="1"/>
          <w:bCs w:val="1"/>
          <w:color w:val="auto"/>
        </w:rPr>
        <w:t>(in millions)</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2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Net transfer In</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0" w:type="dxa"/>
            <w:vAlign w:val="bottom"/>
          </w:tcPr>
          <w:p>
            <w:pPr>
              <w:spacing w:after="0"/>
              <w:rPr>
                <w:sz w:val="1"/>
                <w:szCs w:val="1"/>
                <w:color w:val="auto"/>
              </w:rPr>
            </w:pPr>
          </w:p>
        </w:tc>
      </w:tr>
      <w:tr>
        <w:trPr>
          <w:trHeight w:val="117"/>
        </w:trPr>
        <w:tc>
          <w:tcPr>
            <w:tcW w:w="2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83"/>
              <w:spacing w:after="0" w:line="117"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60" w:type="dxa"/>
            <w:vAlign w:val="bottom"/>
          </w:tcPr>
          <w:p>
            <w:pPr>
              <w:spacing w:after="0"/>
              <w:rPr>
                <w:sz w:val="10"/>
                <w:szCs w:val="10"/>
                <w:color w:val="auto"/>
              </w:rPr>
            </w:pP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60" w:type="dxa"/>
            <w:vAlign w:val="bottom"/>
          </w:tcPr>
          <w:p>
            <w:pPr>
              <w:spacing w:after="0"/>
              <w:rPr>
                <w:sz w:val="10"/>
                <w:szCs w:val="10"/>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Settlements</w:t>
            </w: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(Out) of</w:t>
            </w:r>
          </w:p>
        </w:tc>
        <w:tc>
          <w:tcPr>
            <w:tcW w:w="140" w:type="dxa"/>
            <w:vAlign w:val="bottom"/>
          </w:tcPr>
          <w:p>
            <w:pPr>
              <w:spacing w:after="0"/>
              <w:rPr>
                <w:sz w:val="10"/>
                <w:szCs w:val="10"/>
                <w:color w:val="auto"/>
              </w:rPr>
            </w:pPr>
          </w:p>
        </w:tc>
        <w:tc>
          <w:tcPr>
            <w:tcW w:w="640" w:type="dxa"/>
            <w:vAlign w:val="bottom"/>
          </w:tcPr>
          <w:p>
            <w:pPr>
              <w:jc w:val="right"/>
              <w:ind w:right="283"/>
              <w:spacing w:after="0" w:line="117"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10"/>
                <w:szCs w:val="10"/>
                <w:color w:val="auto"/>
              </w:rPr>
            </w:pPr>
          </w:p>
        </w:tc>
        <w:tc>
          <w:tcPr>
            <w:tcW w:w="9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Unrealized Incl in</w:t>
            </w:r>
          </w:p>
        </w:tc>
        <w:tc>
          <w:tcPr>
            <w:tcW w:w="0" w:type="dxa"/>
            <w:vAlign w:val="bottom"/>
          </w:tcPr>
          <w:p>
            <w:pPr>
              <w:spacing w:after="0"/>
              <w:rPr>
                <w:sz w:val="1"/>
                <w:szCs w:val="1"/>
                <w:color w:val="auto"/>
              </w:rPr>
            </w:pPr>
          </w:p>
        </w:tc>
      </w:tr>
      <w:tr>
        <w:trPr>
          <w:trHeight w:val="150"/>
        </w:trPr>
        <w:tc>
          <w:tcPr>
            <w:tcW w:w="2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3 (a)</w:t>
            </w:r>
          </w:p>
        </w:tc>
        <w:tc>
          <w:tcPr>
            <w:tcW w:w="140" w:type="dxa"/>
            <w:vAlign w:val="bottom"/>
          </w:tcPr>
          <w:p>
            <w:pPr>
              <w:spacing w:after="0"/>
              <w:rPr>
                <w:sz w:val="13"/>
                <w:szCs w:val="13"/>
                <w:color w:val="auto"/>
              </w:rPr>
            </w:pP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OCI</w:t>
            </w:r>
          </w:p>
        </w:tc>
        <w:tc>
          <w:tcPr>
            <w:tcW w:w="0" w:type="dxa"/>
            <w:vAlign w:val="bottom"/>
          </w:tcPr>
          <w:p>
            <w:pPr>
              <w:spacing w:after="0"/>
              <w:rPr>
                <w:sz w:val="1"/>
                <w:szCs w:val="1"/>
                <w:color w:val="auto"/>
              </w:rPr>
            </w:pPr>
          </w:p>
        </w:tc>
      </w:tr>
      <w:tr>
        <w:trPr>
          <w:trHeight w:val="139"/>
        </w:trPr>
        <w:tc>
          <w:tcPr>
            <w:tcW w:w="23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Asset-backed securities</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8,143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3,688</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10,094</w:t>
            </w:r>
          </w:p>
        </w:tc>
        <w:tc>
          <w:tcPr>
            <w:tcW w:w="22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Corporates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Hybrids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Municipals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Governments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3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Preferred equity securities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Common equity securities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Derivative investments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Short-term investments</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Other long-term assets: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Reinsurance recoverable:</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360" w:type="dxa"/>
            <w:vAlign w:val="bottom"/>
            <w:shd w:val="clear" w:color="auto" w:fill="CCEEFF"/>
          </w:tcPr>
          <w:p>
            <w:pPr>
              <w:ind w:left="160"/>
              <w:spacing w:after="0" w:line="113" w:lineRule="exact"/>
              <w:rPr>
                <w:sz w:val="20"/>
                <w:szCs w:val="20"/>
                <w:color w:val="auto"/>
              </w:rPr>
            </w:pPr>
            <w:r>
              <w:rPr>
                <w:rFonts w:ascii="Times New Roman" w:cs="Times New Roman" w:eastAsia="Times New Roman" w:hAnsi="Times New Roman"/>
                <w:sz w:val="11"/>
                <w:szCs w:val="11"/>
                <w:color w:val="auto"/>
              </w:rPr>
              <w:t>Indexed annuities/IUL ceded embedded</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256</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derivatives</w:t>
            </w: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Loan receivable (b)</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23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Subtotal Level 3 assets at fair value</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11,643</w:t>
            </w: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5,699</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(1,339)</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14,245</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Market risk benefits asset (c)</w:t>
            </w:r>
          </w:p>
        </w:tc>
        <w:tc>
          <w:tcPr>
            <w:tcW w:w="1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6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Total Level 3 assets at fair value</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11,832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14,530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Indexed annuities/ IUL embedded derivatives,</w:t>
            </w: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5,220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1,357</w:t>
            </w:r>
          </w:p>
        </w:tc>
        <w:tc>
          <w:tcPr>
            <w:tcW w:w="100" w:type="dxa"/>
            <w:vAlign w:val="bottom"/>
          </w:tcPr>
          <w:p>
            <w:pPr>
              <w:spacing w:after="0"/>
              <w:rPr>
                <w:sz w:val="9"/>
                <w:szCs w:val="9"/>
                <w:color w:val="auto"/>
              </w:rPr>
            </w:pPr>
          </w:p>
        </w:tc>
        <w:tc>
          <w:tcPr>
            <w:tcW w:w="16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6,542</w:t>
            </w:r>
          </w:p>
        </w:tc>
        <w:tc>
          <w:tcPr>
            <w:tcW w:w="22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included in Contractholder funds</w:t>
            </w: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36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1"/>
                <w:szCs w:val="11"/>
                <w:color w:val="auto"/>
              </w:rPr>
              <w:t>Foreign currency swaps, included in Accounts</w:t>
            </w:r>
          </w:p>
        </w:tc>
        <w:tc>
          <w:tcPr>
            <w:tcW w:w="1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7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 and accrued liabilities</w:t>
            </w: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60" w:type="dxa"/>
            <w:vAlign w:val="bottom"/>
          </w:tcPr>
          <w:p>
            <w:pPr>
              <w:spacing w:after="0" w:line="106" w:lineRule="exact"/>
              <w:rPr>
                <w:sz w:val="20"/>
                <w:szCs w:val="20"/>
                <w:color w:val="auto"/>
              </w:rPr>
            </w:pPr>
            <w:r>
              <w:rPr>
                <w:rFonts w:ascii="Times New Roman" w:cs="Times New Roman" w:eastAsia="Times New Roman" w:hAnsi="Times New Roman"/>
                <w:sz w:val="11"/>
                <w:szCs w:val="11"/>
                <w:color w:val="auto"/>
              </w:rPr>
              <w:t>Contingent consideration, included in Accounts</w:t>
            </w:r>
          </w:p>
        </w:tc>
        <w:tc>
          <w:tcPr>
            <w:tcW w:w="140" w:type="dxa"/>
            <w:vAlign w:val="bottom"/>
          </w:tcPr>
          <w:p>
            <w:pPr>
              <w:spacing w:after="0"/>
              <w:rPr>
                <w:sz w:val="9"/>
                <w:szCs w:val="9"/>
                <w:color w:val="auto"/>
              </w:rPr>
            </w:pPr>
          </w:p>
        </w:tc>
        <w:tc>
          <w:tcPr>
            <w:tcW w:w="7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payable and accrued liabilities</w:t>
            </w: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3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Subtotal Level 3 liabilities at fair value</w:t>
            </w: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5,294</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Market Risk benefits liability (c)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6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549</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rPr>
              <w:t>903</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3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b w:val="1"/>
                <w:bCs w:val="1"/>
                <w:color w:val="auto"/>
              </w:rPr>
              <w:t>Total Level 3 liabilities at fair value</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5,843</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7,526</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ind w:left="260" w:hanging="255"/>
        <w:spacing w:after="0"/>
        <w:tabs>
          <w:tab w:leader="none" w:pos="2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net transfers out of Level 3 during the year ended December 31, 2025 were exclusively to Level 2.</w:t>
      </w:r>
    </w:p>
    <w:p>
      <w:pPr>
        <w:spacing w:after="0" w:line="2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Purchases represent advances on the loan commitment to Roar. Refer to Note G </w:t>
      </w:r>
      <w:r>
        <w:rPr>
          <w:rFonts w:ascii="Times New Roman" w:cs="Times New Roman" w:eastAsia="Times New Roman" w:hAnsi="Times New Roman"/>
          <w:sz w:val="11"/>
          <w:szCs w:val="11"/>
          <w:i w:val="1"/>
          <w:iCs w:val="1"/>
          <w:color w:val="auto"/>
        </w:rPr>
        <w:t>Commitments and Contingencies</w:t>
      </w:r>
      <w:r>
        <w:rPr>
          <w:rFonts w:ascii="Times New Roman" w:cs="Times New Roman" w:eastAsia="Times New Roman" w:hAnsi="Times New Roman"/>
          <w:sz w:val="11"/>
          <w:szCs w:val="11"/>
          <w:color w:val="auto"/>
        </w:rPr>
        <w:t xml:space="preserve"> for further details.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W </w:t>
      </w:r>
      <w:r>
        <w:rPr>
          <w:rFonts w:ascii="Times New Roman" w:cs="Times New Roman" w:eastAsia="Times New Roman" w:hAnsi="Times New Roman"/>
          <w:sz w:val="11"/>
          <w:szCs w:val="11"/>
          <w:i w:val="1"/>
          <w:iCs w:val="1"/>
          <w:color w:val="auto"/>
        </w:rPr>
        <w:t>Market Risk Benefits</w:t>
      </w:r>
      <w:r>
        <w:rPr>
          <w:rFonts w:ascii="Times New Roman" w:cs="Times New Roman" w:eastAsia="Times New Roman" w:hAnsi="Times New Roman"/>
          <w:sz w:val="11"/>
          <w:szCs w:val="11"/>
          <w:color w:val="auto"/>
        </w:rPr>
        <w:t xml:space="preserve"> for roll forward activity of the net Market Risk Benefits Asset and Liability.</w:t>
      </w:r>
    </w:p>
    <w:p>
      <w:pPr>
        <w:spacing w:after="0" w:line="31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Total Gains (Losses)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2"/>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Balance at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0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Included in</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Net transfer In</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Balance at End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Change in</w:t>
            </w:r>
          </w:p>
        </w:tc>
        <w:tc>
          <w:tcPr>
            <w:tcW w:w="0" w:type="dxa"/>
            <w:vAlign w:val="bottom"/>
          </w:tcPr>
          <w:p>
            <w:pPr>
              <w:spacing w:after="0"/>
              <w:rPr>
                <w:sz w:val="1"/>
                <w:szCs w:val="1"/>
                <w:color w:val="auto"/>
              </w:rPr>
            </w:pPr>
          </w:p>
        </w:tc>
      </w:tr>
      <w:tr>
        <w:trPr>
          <w:trHeight w:val="115"/>
        </w:trPr>
        <w:tc>
          <w:tcPr>
            <w:tcW w:w="2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Beginning</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80" w:type="dxa"/>
            <w:vAlign w:val="bottom"/>
          </w:tcPr>
          <w:p>
            <w:pPr>
              <w:spacing w:after="0"/>
              <w:rPr>
                <w:sz w:val="9"/>
                <w:szCs w:val="9"/>
                <w:color w:val="auto"/>
              </w:rPr>
            </w:pP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Sales</w:t>
            </w:r>
          </w:p>
        </w:tc>
        <w:tc>
          <w:tcPr>
            <w:tcW w:w="160" w:type="dxa"/>
            <w:vAlign w:val="bottom"/>
          </w:tcPr>
          <w:p>
            <w:pPr>
              <w:spacing w:after="0"/>
              <w:rPr>
                <w:sz w:val="9"/>
                <w:szCs w:val="9"/>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Settlements</w:t>
            </w:r>
          </w:p>
        </w:tc>
        <w:tc>
          <w:tcPr>
            <w:tcW w:w="120" w:type="dxa"/>
            <w:vAlign w:val="bottom"/>
          </w:tcPr>
          <w:p>
            <w:pPr>
              <w:spacing w:after="0"/>
              <w:rPr>
                <w:sz w:val="9"/>
                <w:szCs w:val="9"/>
                <w:color w:val="auto"/>
              </w:rPr>
            </w:pPr>
          </w:p>
        </w:tc>
        <w:tc>
          <w:tcPr>
            <w:tcW w:w="80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(Out) of</w:t>
            </w:r>
          </w:p>
        </w:tc>
        <w:tc>
          <w:tcPr>
            <w:tcW w:w="180" w:type="dxa"/>
            <w:vAlign w:val="bottom"/>
          </w:tcPr>
          <w:p>
            <w:pPr>
              <w:spacing w:after="0"/>
              <w:rPr>
                <w:sz w:val="9"/>
                <w:szCs w:val="9"/>
                <w:color w:val="auto"/>
              </w:rPr>
            </w:pPr>
          </w:p>
        </w:tc>
        <w:tc>
          <w:tcPr>
            <w:tcW w:w="660" w:type="dxa"/>
            <w:vAlign w:val="bottom"/>
          </w:tcPr>
          <w:p>
            <w:pPr>
              <w:jc w:val="center"/>
              <w:ind w:right="103"/>
              <w:spacing w:after="0" w:line="115" w:lineRule="exact"/>
              <w:rPr>
                <w:sz w:val="20"/>
                <w:szCs w:val="20"/>
                <w:color w:val="auto"/>
              </w:rPr>
            </w:pPr>
            <w:r>
              <w:rPr>
                <w:rFonts w:ascii="Times New Roman" w:cs="Times New Roman" w:eastAsia="Times New Roman" w:hAnsi="Times New Roman"/>
                <w:sz w:val="11"/>
                <w:szCs w:val="11"/>
                <w:b w:val="1"/>
                <w:bCs w:val="1"/>
                <w:color w:val="auto"/>
              </w:rPr>
              <w:t>of</w:t>
            </w:r>
          </w:p>
        </w:tc>
        <w:tc>
          <w:tcPr>
            <w:tcW w:w="80" w:type="dxa"/>
            <w:vAlign w:val="bottom"/>
          </w:tcPr>
          <w:p>
            <w:pPr>
              <w:spacing w:after="0"/>
              <w:rPr>
                <w:sz w:val="9"/>
                <w:szCs w:val="9"/>
                <w:color w:val="auto"/>
              </w:rPr>
            </w:pPr>
          </w:p>
        </w:tc>
        <w:tc>
          <w:tcPr>
            <w:tcW w:w="9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Unrealized Incl in</w:t>
            </w:r>
          </w:p>
        </w:tc>
        <w:tc>
          <w:tcPr>
            <w:tcW w:w="0" w:type="dxa"/>
            <w:vAlign w:val="bottom"/>
          </w:tcPr>
          <w:p>
            <w:pPr>
              <w:spacing w:after="0"/>
              <w:rPr>
                <w:sz w:val="1"/>
                <w:szCs w:val="1"/>
                <w:color w:val="auto"/>
              </w:rPr>
            </w:pPr>
          </w:p>
        </w:tc>
      </w:tr>
      <w:tr>
        <w:trPr>
          <w:trHeight w:val="155"/>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20" w:type="dxa"/>
            <w:vAlign w:val="bottom"/>
          </w:tcPr>
          <w:p>
            <w:pPr>
              <w:spacing w:after="0"/>
              <w:rPr>
                <w:sz w:val="13"/>
                <w:szCs w:val="13"/>
                <w:color w:val="auto"/>
              </w:rPr>
            </w:pPr>
          </w:p>
        </w:tc>
        <w:tc>
          <w:tcPr>
            <w:tcW w:w="780" w:type="dxa"/>
            <w:vAlign w:val="bottom"/>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of Period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AOCI</w:t>
            </w: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Level 3 (a)</w:t>
            </w:r>
          </w:p>
        </w:tc>
        <w:tc>
          <w:tcPr>
            <w:tcW w:w="180" w:type="dxa"/>
            <w:vAlign w:val="bottom"/>
          </w:tcPr>
          <w:p>
            <w:pPr>
              <w:spacing w:after="0"/>
              <w:rPr>
                <w:sz w:val="13"/>
                <w:szCs w:val="13"/>
                <w:color w:val="auto"/>
              </w:rPr>
            </w:pPr>
          </w:p>
        </w:tc>
        <w:tc>
          <w:tcPr>
            <w:tcW w:w="66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OCI</w:t>
            </w:r>
          </w:p>
        </w:tc>
        <w:tc>
          <w:tcPr>
            <w:tcW w:w="0" w:type="dxa"/>
            <w:vAlign w:val="bottom"/>
          </w:tcPr>
          <w:p>
            <w:pPr>
              <w:spacing w:after="0"/>
              <w:rPr>
                <w:sz w:val="1"/>
                <w:szCs w:val="1"/>
                <w:color w:val="auto"/>
              </w:rPr>
            </w:pPr>
          </w:p>
        </w:tc>
      </w:tr>
      <w:tr>
        <w:trPr>
          <w:trHeight w:val="134"/>
        </w:trPr>
        <w:tc>
          <w:tcPr>
            <w:tcW w:w="254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5,104</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(2,825)</w:t>
            </w:r>
          </w:p>
        </w:tc>
        <w:tc>
          <w:tcPr>
            <w:tcW w:w="10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(1,210)</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8,143</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securities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securities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Derivative investments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Available-for-sale embedded derivative</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Credit linked note</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recoverable:</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540" w:type="dxa"/>
            <w:vAlign w:val="bottom"/>
          </w:tcPr>
          <w:p>
            <w:pPr>
              <w:ind w:left="180"/>
              <w:spacing w:after="0" w:line="110" w:lineRule="exact"/>
              <w:rPr>
                <w:sz w:val="20"/>
                <w:szCs w:val="20"/>
                <w:color w:val="auto"/>
              </w:rPr>
            </w:pPr>
            <w:r>
              <w:rPr>
                <w:rFonts w:ascii="Times New Roman" w:cs="Times New Roman" w:eastAsia="Times New Roman" w:hAnsi="Times New Roman"/>
                <w:sz w:val="11"/>
                <w:szCs w:val="11"/>
                <w:color w:val="auto"/>
              </w:rPr>
              <w:t>Indexed annuities/IUL ceded embedded</w:t>
            </w:r>
          </w:p>
        </w:tc>
        <w:tc>
          <w:tcPr>
            <w:tcW w:w="12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1"/>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derivatives</w:t>
            </w:r>
          </w:p>
        </w:tc>
        <w:tc>
          <w:tcPr>
            <w:tcW w:w="1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Loan receivable (b)</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5"/>
        </w:trPr>
        <w:tc>
          <w:tcPr>
            <w:tcW w:w="2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Subtotal Level 3 assets at fair value</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9,609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11,643</w:t>
            </w:r>
          </w:p>
        </w:tc>
        <w:tc>
          <w:tcPr>
            <w:tcW w:w="2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Market risk benefits asset (c)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54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88</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6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color w:val="auto"/>
              </w:rPr>
              <w:t>189</w:t>
            </w: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Total Level 3 assets at fair value</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9,697</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11,832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54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Indexed annuities embedded derivatives, included in</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1,351</w:t>
            </w:r>
          </w:p>
        </w:tc>
        <w:tc>
          <w:tcPr>
            <w:tcW w:w="10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5,220</w:t>
            </w:r>
          </w:p>
        </w:tc>
        <w:tc>
          <w:tcPr>
            <w:tcW w:w="24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2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6"/>
        </w:trPr>
        <w:tc>
          <w:tcPr>
            <w:tcW w:w="254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1"/>
                <w:szCs w:val="11"/>
                <w:color w:val="auto"/>
              </w:rPr>
              <w:t>Contingent consideration, included in Accounts</w:t>
            </w:r>
          </w:p>
        </w:tc>
        <w:tc>
          <w:tcPr>
            <w:tcW w:w="12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payable and accrued liabilities</w:t>
            </w:r>
          </w:p>
        </w:tc>
        <w:tc>
          <w:tcPr>
            <w:tcW w:w="12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5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Subtotal Total liabilities at Level 3 fair value</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1,399</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5,294</w:t>
            </w:r>
          </w:p>
        </w:tc>
        <w:tc>
          <w:tcPr>
            <w:tcW w:w="24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 liability (c)</w:t>
            </w:r>
          </w:p>
        </w:tc>
        <w:tc>
          <w:tcPr>
            <w:tcW w:w="12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Total Level 3 liabilities at fair value</w:t>
            </w: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5,843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net transfers out of Level 3 during the year ended December 31, 2024 were exclusively to Level 2.</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Purchases represent advances on the loan commitment to Roar. Refer to Note G </w:t>
      </w:r>
      <w:r>
        <w:rPr>
          <w:rFonts w:ascii="Times New Roman" w:cs="Times New Roman" w:eastAsia="Times New Roman" w:hAnsi="Times New Roman"/>
          <w:sz w:val="11"/>
          <w:szCs w:val="11"/>
          <w:i w:val="1"/>
          <w:iCs w:val="1"/>
          <w:color w:val="auto"/>
        </w:rPr>
        <w:t>Commitments and Contingencies</w:t>
      </w:r>
      <w:r>
        <w:rPr>
          <w:rFonts w:ascii="Times New Roman" w:cs="Times New Roman" w:eastAsia="Times New Roman" w:hAnsi="Times New Roman"/>
          <w:sz w:val="11"/>
          <w:szCs w:val="11"/>
          <w:color w:val="auto"/>
        </w:rPr>
        <w:t xml:space="preserve"> for further details.</w:t>
      </w:r>
    </w:p>
    <w:p>
      <w:pPr>
        <w:spacing w:after="0" w:line="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Refer to Note W </w:t>
      </w:r>
      <w:r>
        <w:rPr>
          <w:rFonts w:ascii="Times New Roman" w:cs="Times New Roman" w:eastAsia="Times New Roman" w:hAnsi="Times New Roman"/>
          <w:sz w:val="11"/>
          <w:szCs w:val="11"/>
          <w:i w:val="1"/>
          <w:iCs w:val="1"/>
          <w:color w:val="auto"/>
        </w:rPr>
        <w:t>Market Risk Benefits</w:t>
      </w:r>
      <w:r>
        <w:rPr>
          <w:rFonts w:ascii="Times New Roman" w:cs="Times New Roman" w:eastAsia="Times New Roman" w:hAnsi="Times New Roman"/>
          <w:sz w:val="11"/>
          <w:szCs w:val="11"/>
          <w:color w:val="auto"/>
        </w:rPr>
        <w:t xml:space="preserve"> for roll forward activity of the net Market risk benefits asset and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Option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F&amp;G has elected the FVO for certain investments held by consolidated VIEs, including certain loans reported in other long term investments. See Note D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for additional information on our investments in VIEs. As discussed above, we have also elected the FVO for certain other investments in unconsolidated affiliates and for a loan receivable.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information regarding the assets for which the fair value option was elected.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4"/>
        </w:trPr>
        <w:tc>
          <w:tcPr>
            <w:tcW w:w="83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00" w:type="dxa"/>
            <w:vAlign w:val="bottom"/>
          </w:tcPr>
          <w:p>
            <w:pPr>
              <w:spacing w:after="0"/>
              <w:rPr>
                <w:sz w:val="13"/>
                <w:szCs w:val="13"/>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w:t>
            </w: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loans, within other long-term investments (a)</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 Value</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tcPr>
          <w:p>
            <w:pPr>
              <w:spacing w:after="0"/>
              <w:rPr>
                <w:sz w:val="13"/>
                <w:szCs w:val="13"/>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Aggregate unpaid principal</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Loan receivable, within prepaid expenses and other assets (a)</w:t>
            </w: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Fair Value</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7"/>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Aggregate unpaid principal</w:t>
            </w: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r>
    </w:tbl>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1"/>
          <w:szCs w:val="11"/>
          <w:color w:val="auto"/>
        </w:rPr>
        <w:t>(a) No loans are 90 days or more past due or on nonaccrual status</w:t>
      </w:r>
    </w:p>
    <w:p>
      <w:pPr>
        <w:spacing w:after="0" w:line="1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presents information regarding the impact of changes in fair value of assets for which the fair value option was elected which are reported within Recognized gains and losses, net on the Consolidated Statements of Earnings.</w:t>
      </w:r>
    </w:p>
    <w:p>
      <w:pPr>
        <w:spacing w:after="0" w:line="173"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4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104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Methodologies and Associated Inputs for Financial Instruments Not Carried at Fair Value</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Mortgage Loans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Investments in Unconsolidated affiliates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our F&amp;G segment, the fair value of Investments in unconsolidated affiliates is determined using NAV as a practical expedient and are included in the NAV column in the table below. In our Title segment, Investments in unconsolidated affiliates are accounted for under the equity method of accounting. In our Title segment, Investments in unconsolidated affiliates were $288 million and $166 million as of December 31, 2025 and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Policy Loans (included within Other long-term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Policy loans are reported at the unpaid principal balance and are fully collateralized by the cash surrender value of underlying insurance policies. The carrying value of the policy loans approximates the fair value and are classified as Level 3 in the fair value hierarchy.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Company Owned Life Insurance (included within Other long-term investments)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Invested Assets (included within Other long-term investments)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fair value of bank loans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Bank loans are classified as Level 3 within the fair value hierarchy. For cost method investments, our carrying value approximates fair value. Cost method investments are classified as Level 1 within the fair value hierarchy.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Contracts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Investment contracts include deferred annuities (indexed annuities and fixed rate annuities), IUL policies, funding agreements and PRT, and immediate annuity contracts without life contingencies. The indexed annuities/IUL embedded derivatives, included in contractholder funds, are excluded as they are carried at fair value. The fair value of the deferred annuities (indexed annuities and fixed rate annuities) and IUL contracts is based on their cash surrender value (i.e., the cost the Company would incur to extinguish the liability) as these contracts are generally issued without an annuitization date. The fair value of funding agreements and PRT and immediate annuity contracts without life contingencies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Federal Home Loan Bank of Atlanta ("FHLB") common stock, Accounts receivable, and Notes receivable are carried at cost, which approximates fair value. The carrying amount of FHLB</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common stock represents the value it can be sold back to the FHLB and is classified as Level 2 within the hierarchy. Accounts receivable and Notes receivable are classified as Level 3 within the fair value hierarchy.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Debt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fair value of debt, with the exception of the F&amp;G Credit Agreement is based on quoted market prices. The carrying value of the F&amp;G Credit Agreement would approximate fair value as the</w:t>
      </w:r>
    </w:p>
    <w:p>
      <w:pPr>
        <w:spacing w:after="0" w:line="4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rates are comparable to those at which we could currently borrow under similar terms. As of December 31, 2025 and 2024, there were no outstanding balance on the F&amp;G Credit Agreement. The inputs used to measure the fair value of our outstanding debt are classified as Level 2 within the fair value hierarchy.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provide the carrying value and estimated fair value of our financial instruments that are carried on the Consolidated Balance Sheets at amounts other than fair value, summarized according to the fair value hierarchy previously described.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20" w:type="dxa"/>
            <w:vAlign w:val="bottom"/>
            <w:gridSpan w:val="8"/>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NAV</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1"/>
                <w:szCs w:val="11"/>
                <w:b w:val="1"/>
                <w:bCs w:val="1"/>
                <w:color w:val="auto"/>
              </w:rPr>
              <w:t>Total Estimated Fair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common stock</w:t>
            </w:r>
          </w:p>
        </w:tc>
        <w:tc>
          <w:tcPr>
            <w:tcW w:w="280" w:type="dxa"/>
            <w:vAlign w:val="bottom"/>
          </w:tcPr>
          <w:p>
            <w:pPr>
              <w:spacing w:after="0"/>
              <w:rPr>
                <w:sz w:val="13"/>
                <w:szCs w:val="13"/>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spacing w:after="0"/>
              <w:rPr>
                <w:sz w:val="13"/>
                <w:szCs w:val="13"/>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w w:val="96"/>
              </w:rPr>
              <w:t>155</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3,025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3,242</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4,424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4,649</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4,608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4,608</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Policy loans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invested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w:t>
            </w:r>
          </w:p>
        </w:tc>
        <w:tc>
          <w:tcPr>
            <w:tcW w:w="0" w:type="dxa"/>
            <w:vAlign w:val="bottom"/>
          </w:tcPr>
          <w:p>
            <w:pPr>
              <w:spacing w:after="0"/>
              <w:rPr>
                <w:sz w:val="1"/>
                <w:szCs w:val="1"/>
                <w:color w:val="auto"/>
              </w:rPr>
            </w:pPr>
          </w:p>
        </w:tc>
      </w:tr>
      <w:tr>
        <w:trPr>
          <w:trHeight w:val="15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w:t>
            </w: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w:t>
            </w:r>
          </w:p>
        </w:tc>
        <w:tc>
          <w:tcPr>
            <w:tcW w:w="0" w:type="dxa"/>
            <w:vAlign w:val="bottom"/>
          </w:tcPr>
          <w:p>
            <w:pPr>
              <w:spacing w:after="0"/>
              <w:rPr>
                <w:sz w:val="1"/>
                <w:szCs w:val="1"/>
                <w:color w:val="auto"/>
              </w:rPr>
            </w:pPr>
          </w:p>
        </w:tc>
      </w:tr>
      <w:tr>
        <w:trPr>
          <w:trHeight w:val="156"/>
        </w:trPr>
        <w:tc>
          <w:tcPr>
            <w:tcW w:w="3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Pr>
          <w:p>
            <w:pPr>
              <w:spacing w:after="0"/>
              <w:rPr>
                <w:sz w:val="13"/>
                <w:szCs w:val="13"/>
                <w:color w:val="auto"/>
              </w:rPr>
            </w:pPr>
          </w:p>
        </w:tc>
        <w:tc>
          <w:tcPr>
            <w:tcW w:w="8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color w:val="auto"/>
                <w:w w:val="90"/>
              </w:rPr>
              <w:t>18</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w w:val="96"/>
              </w:rPr>
              <w:t>155</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color w:val="auto"/>
              </w:rPr>
              <w:t>8,956</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4,683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13,812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14,254</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contracts, included in Contractholder funds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51,027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56,184</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4,204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4,204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4,400</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51,027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55,231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60,584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9"/>
          </w:tcPr>
          <w:p>
            <w:pPr>
              <w:ind w:left="5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NAV</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3"/>
          </w:tcPr>
          <w:p>
            <w:pPr>
              <w:jc w:val="center"/>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Total Estimated Fair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0" w:type="dxa"/>
            <w:vAlign w:val="bottom"/>
          </w:tcPr>
          <w:p>
            <w:pPr>
              <w:spacing w:after="0"/>
              <w:rPr>
                <w:sz w:val="1"/>
                <w:szCs w:val="1"/>
                <w:color w:val="auto"/>
              </w:rPr>
            </w:pPr>
          </w:p>
        </w:tc>
      </w:tr>
      <w:tr>
        <w:trPr>
          <w:trHeight w:val="153"/>
        </w:trPr>
        <w:tc>
          <w:tcPr>
            <w:tcW w:w="3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FHLB common stock</w:t>
            </w: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3,221</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3,288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3,293</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Policy loans</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invested assets</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Company-owned life insurance</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0" w:type="dxa"/>
            <w:vAlign w:val="bottom"/>
          </w:tcPr>
          <w:p>
            <w:pPr>
              <w:spacing w:after="0"/>
              <w:rPr>
                <w:sz w:val="1"/>
                <w:szCs w:val="1"/>
                <w:color w:val="auto"/>
              </w:rPr>
            </w:pPr>
          </w:p>
        </w:tc>
      </w:tr>
      <w:tr>
        <w:trPr>
          <w:trHeight w:val="16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Trade and notes receivables, net of allowance</w:t>
            </w: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150"/>
        </w:trPr>
        <w:tc>
          <w:tcPr>
            <w:tcW w:w="3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42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6,331</w:t>
            </w:r>
          </w:p>
        </w:tc>
        <w:tc>
          <w:tcPr>
            <w:tcW w:w="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3,336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9,862</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10,468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contracts, included in Contractholder funds</w:t>
            </w: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46,339</w:t>
            </w:r>
          </w:p>
        </w:tc>
        <w:tc>
          <w:tcPr>
            <w:tcW w:w="28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51,184</w:t>
            </w:r>
          </w:p>
        </w:tc>
        <w:tc>
          <w:tcPr>
            <w:tcW w:w="0" w:type="dxa"/>
            <w:vAlign w:val="bottom"/>
          </w:tcPr>
          <w:p>
            <w:pPr>
              <w:spacing w:after="0"/>
              <w:rPr>
                <w:sz w:val="1"/>
                <w:szCs w:val="1"/>
                <w:color w:val="auto"/>
              </w:rPr>
            </w:pPr>
          </w:p>
        </w:tc>
      </w:tr>
      <w:tr>
        <w:trPr>
          <w:trHeight w:val="153"/>
        </w:trPr>
        <w:tc>
          <w:tcPr>
            <w:tcW w:w="3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Debt</w:t>
            </w:r>
          </w:p>
        </w:tc>
        <w:tc>
          <w:tcPr>
            <w:tcW w:w="280" w:type="dxa"/>
            <w:vAlign w:val="bottom"/>
          </w:tcPr>
          <w:p>
            <w:pPr>
              <w:spacing w:after="0"/>
              <w:rPr>
                <w:sz w:val="13"/>
                <w:szCs w:val="13"/>
                <w:color w:val="auto"/>
              </w:rPr>
            </w:pPr>
          </w:p>
        </w:tc>
        <w:tc>
          <w:tcPr>
            <w:tcW w:w="8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4,321</w:t>
            </w:r>
          </w:p>
        </w:tc>
        <w:tc>
          <w:tcPr>
            <w:tcW w:w="0" w:type="dxa"/>
            <w:vAlign w:val="bottom"/>
          </w:tcPr>
          <w:p>
            <w:pPr>
              <w:spacing w:after="0"/>
              <w:rPr>
                <w:sz w:val="1"/>
                <w:szCs w:val="1"/>
                <w:color w:val="auto"/>
              </w:rPr>
            </w:pPr>
          </w:p>
        </w:tc>
      </w:tr>
      <w:tr>
        <w:trPr>
          <w:trHeight w:val="181"/>
        </w:trPr>
        <w:tc>
          <w:tcPr>
            <w:tcW w:w="38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center"/>
              <w:ind w:right="4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3,781</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46,339</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50,120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55,505</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For investments for which NAV is used, we do not have any significant restrictions in our ability to liquidate our positions in these investments, other than obtaining general partner approval, nor do we believe it is probable a price less than NAV would be received in the event of a liquidation.</w:t>
      </w:r>
    </w:p>
    <w:p>
      <w:pPr>
        <w:spacing w:after="0" w:line="1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D — Investments</w:t>
      </w:r>
    </w:p>
    <w:p>
      <w:pPr>
        <w:spacing w:after="0" w:line="12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Our investments in fixed maturity securities have been designated as AFS, and are carried at fair value, net of allowance for expected credit losses, with unrealized gains and losses included within AOCI, net of deferred income taxes. Our preferred and equity securities investments are carried at fair value with unrealized gains and losses included in net earnings.</w:t>
      </w:r>
    </w:p>
    <w:p>
      <w:pPr>
        <w:spacing w:after="0" w:line="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F&amp;G's investments include assets backing reserves as part of coinsurance with funds withheld agreements. The funds withheld invested assets are reported within their respective line items. See Note N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for more information on the funds withheld agreements. The Company's consolidated AFS investments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240" w:type="dxa"/>
            <w:vAlign w:val="bottom"/>
          </w:tcPr>
          <w:p>
            <w:pPr>
              <w:jc w:val="center"/>
              <w:ind w:right="23"/>
              <w:spacing w:after="0" w:line="106" w:lineRule="exact"/>
              <w:rPr>
                <w:sz w:val="20"/>
                <w:szCs w:val="20"/>
                <w:color w:val="auto"/>
              </w:rPr>
            </w:pPr>
            <w:r>
              <w:rPr>
                <w:rFonts w:ascii="Times New Roman" w:cs="Times New Roman" w:eastAsia="Times New Roman" w:hAnsi="Times New Roman"/>
                <w:sz w:val="11"/>
                <w:szCs w:val="11"/>
                <w:b w:val="1"/>
                <w:bCs w:val="1"/>
                <w:color w:val="auto"/>
              </w:rPr>
              <w:t>Allowance for Expected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jc w:val="center"/>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ind w:right="220"/>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5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AFS securities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18,853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5,341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AFS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57,161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(3,110)</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54,561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5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0" w:type="dxa"/>
            <w:vAlign w:val="bottom"/>
          </w:tcPr>
          <w:p>
            <w:pPr>
              <w:spacing w:after="0"/>
              <w:rPr>
                <w:sz w:val="9"/>
                <w:szCs w:val="9"/>
                <w:color w:val="auto"/>
              </w:rPr>
            </w:pPr>
          </w:p>
        </w:tc>
        <w:tc>
          <w:tcPr>
            <w:tcW w:w="1240" w:type="dxa"/>
            <w:vAlign w:val="bottom"/>
          </w:tcPr>
          <w:p>
            <w:pPr>
              <w:jc w:val="center"/>
              <w:ind w:right="23"/>
              <w:spacing w:after="0" w:line="106" w:lineRule="exact"/>
              <w:rPr>
                <w:sz w:val="20"/>
                <w:szCs w:val="20"/>
                <w:color w:val="auto"/>
              </w:rPr>
            </w:pPr>
            <w:r>
              <w:rPr>
                <w:rFonts w:ascii="Times New Roman" w:cs="Times New Roman" w:eastAsia="Times New Roman" w:hAnsi="Times New Roman"/>
                <w:sz w:val="11"/>
                <w:szCs w:val="11"/>
                <w:b w:val="1"/>
                <w:bCs w:val="1"/>
                <w:color w:val="auto"/>
              </w:rPr>
              <w:t>Allowance for Expected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3"/>
          </w:tcPr>
          <w:p>
            <w:pPr>
              <w:jc w:val="center"/>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5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Losses</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AFS securities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15,784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(317)</w:t>
            </w:r>
          </w:p>
        </w:tc>
        <w:tc>
          <w:tcPr>
            <w:tcW w:w="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(201)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(2,832)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(255)</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Governments</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AFS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(3,802)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48,218</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Securities held on deposit with various state regulatory authorities had a fair value of $155 million and $997 million at December 31, 2025 and 2024, respectively.</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and 2024, the Company held $54 million and $32 million, respectively, of investments that were non-income producing for a period greater than twelve months.</w:t>
      </w:r>
    </w:p>
    <w:p>
      <w:pPr>
        <w:spacing w:after="0" w:line="10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Company's accrued interest receivable balance, excluding accrued interest receivable balances related to mortgage loans discussed below under "Mortgage Loans", was $542 million and $476 million, respectively. Accrued interest receivable is classified within Prepaid expenses and other assets within the Consolidated Balance Sheets.</w:t>
      </w:r>
    </w:p>
    <w:p>
      <w:pPr>
        <w:spacing w:after="0" w:line="5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$4,621 million and $4,289 million as of December 31, 2025 and 2024,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amortized cost and fair value of fixed maturity securities AFS by contractual maturities, as applicable, are shown below. Actual maturities may differ from contractual maturities because issuers may have the right to call or prepay obligations.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980" w:type="dxa"/>
            <w:vAlign w:val="bottom"/>
          </w:tcPr>
          <w:p>
            <w:pPr>
              <w:spacing w:after="0"/>
              <w:rPr>
                <w:sz w:val="12"/>
                <w:szCs w:val="12"/>
                <w:color w:val="auto"/>
              </w:rPr>
            </w:pPr>
          </w:p>
        </w:tc>
      </w:tr>
      <w:tr>
        <w:trPr>
          <w:trHeight w:val="169"/>
        </w:trPr>
        <w:tc>
          <w:tcPr>
            <w:tcW w:w="5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Borders>
              <w:bottom w:val="single" w:sz="8" w:color="auto"/>
            </w:tcBorders>
          </w:tcPr>
          <w:p>
            <w:pPr>
              <w:spacing w:after="0"/>
              <w:rPr>
                <w:sz w:val="14"/>
                <w:szCs w:val="14"/>
                <w:color w:val="auto"/>
              </w:rPr>
            </w:pPr>
          </w:p>
        </w:tc>
      </w:tr>
      <w:tr>
        <w:trPr>
          <w:trHeight w:val="154"/>
        </w:trPr>
        <w:tc>
          <w:tcPr>
            <w:tcW w:w="5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40" w:type="dxa"/>
            <w:vAlign w:val="bottom"/>
          </w:tcPr>
          <w:p>
            <w:pPr>
              <w:spacing w:after="0"/>
              <w:rPr>
                <w:sz w:val="13"/>
                <w:szCs w:val="13"/>
                <w:color w:val="auto"/>
              </w:rPr>
            </w:pPr>
          </w:p>
        </w:tc>
        <w:tc>
          <w:tcPr>
            <w:tcW w:w="9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420" w:type="dxa"/>
            <w:vAlign w:val="bottom"/>
          </w:tcPr>
          <w:p>
            <w:pPr>
              <w:spacing w:after="0"/>
              <w:rPr>
                <w:sz w:val="13"/>
                <w:szCs w:val="13"/>
                <w:color w:val="auto"/>
              </w:rPr>
            </w:pPr>
          </w:p>
        </w:tc>
        <w:tc>
          <w:tcPr>
            <w:tcW w:w="98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44"/>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Corporates, Non-structured Hybrids, Municipal, Foreign and U.S. Government Securities:</w:t>
            </w: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r>
      <w:tr>
        <w:trPr>
          <w:trHeight w:val="153"/>
        </w:trPr>
        <w:tc>
          <w:tcPr>
            <w:tcW w:w="5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Due in one year or less</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w:t>
            </w:r>
          </w:p>
        </w:tc>
        <w:tc>
          <w:tcPr>
            <w:tcW w:w="10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619</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w:t>
            </w:r>
          </w:p>
        </w:tc>
        <w:tc>
          <w:tcPr>
            <w:tcW w:w="100" w:type="dxa"/>
            <w:vAlign w:val="bottom"/>
          </w:tcPr>
          <w:p>
            <w:pPr>
              <w:spacing w:after="0"/>
              <w:rPr>
                <w:sz w:val="13"/>
                <w:szCs w:val="13"/>
                <w:color w:val="auto"/>
              </w:rPr>
            </w:pPr>
          </w:p>
        </w:tc>
        <w:tc>
          <w:tcPr>
            <w:tcW w:w="42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955</w:t>
            </w:r>
          </w:p>
        </w:tc>
      </w:tr>
      <w:tr>
        <w:trPr>
          <w:trHeight w:val="16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after one year through five years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5,597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5,626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4,544</w:t>
            </w:r>
          </w:p>
        </w:tc>
      </w:tr>
      <w:tr>
        <w:trPr>
          <w:trHeight w:val="153"/>
        </w:trPr>
        <w:tc>
          <w:tcPr>
            <w:tcW w:w="5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Due after five years through ten years</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5,811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5,311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5,126</w:t>
            </w:r>
          </w:p>
        </w:tc>
      </w:tr>
      <w:tr>
        <w:trPr>
          <w:trHeight w:val="16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Due after ten years</w:t>
            </w:r>
          </w:p>
        </w:tc>
        <w:tc>
          <w:tcPr>
            <w:tcW w:w="2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18,090</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15,716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16,761</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13,959</w:t>
            </w:r>
          </w:p>
        </w:tc>
      </w:tr>
      <w:tr>
        <w:trPr>
          <w:trHeight w:val="144"/>
        </w:trPr>
        <w:tc>
          <w:tcPr>
            <w:tcW w:w="53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Subtotal</w:t>
            </w: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30,121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27,773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27,649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24,584</w:t>
            </w:r>
          </w:p>
        </w:tc>
      </w:tr>
      <w:tr>
        <w:trPr>
          <w:trHeight w:val="16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securities, which provide for periodic payments: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53"/>
        </w:trPr>
        <w:tc>
          <w:tcPr>
            <w:tcW w:w="53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Asset-backed securities</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18,853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15,784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15,656</w:t>
            </w:r>
          </w:p>
        </w:tc>
      </w:tr>
      <w:tr>
        <w:trPr>
          <w:trHeight w:val="165"/>
        </w:trPr>
        <w:tc>
          <w:tcPr>
            <w:tcW w:w="5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5,199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5,182</w:t>
            </w:r>
          </w:p>
        </w:tc>
      </w:tr>
      <w:tr>
        <w:trPr>
          <w:trHeight w:val="153"/>
        </w:trPr>
        <w:tc>
          <w:tcPr>
            <w:tcW w:w="5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2,846</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2,869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2,796</w:t>
            </w:r>
          </w:p>
        </w:tc>
      </w:tr>
      <w:tr>
        <w:trPr>
          <w:trHeight w:val="150"/>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b w:val="1"/>
                <w:bCs w:val="1"/>
                <w:color w:val="auto"/>
              </w:rPr>
              <w:t>Subtotal</w:t>
            </w: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27,040</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26,788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24,032</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23,634</w:t>
            </w:r>
          </w:p>
        </w:tc>
      </w:tr>
      <w:tr>
        <w:trPr>
          <w:trHeight w:val="156"/>
        </w:trPr>
        <w:tc>
          <w:tcPr>
            <w:tcW w:w="538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Total fixed maturity AFS securities</w:t>
            </w: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57,161</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54,561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51,681</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48,218</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Current Expected Credit Loss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regularly review AFS securities for declines in fair value that we determine to be credit related. For our fixed maturity securities, we generally consider the following in determining whether our unrealized losses are credit related, and if so, the magnitude of the credit loss:</w:t>
      </w:r>
    </w:p>
    <w:p>
      <w:pPr>
        <w:spacing w:after="0" w:line="39" w:lineRule="exact"/>
        <w:rPr>
          <w:sz w:val="20"/>
          <w:szCs w:val="20"/>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fair value is less than the amortized cost basis;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reasons for the decline in value (credit event, currency or interest-rate related, including general credit spread widening);</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condition of and near-term prospects of the issuer (including issuer's current credit rating and the probability of full recovery of principal based upon the issuer's financial strength);</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delinquencies and non-performing assets of underlying collateral;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future default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Collateral value by vintage, geographic region, industry concentration or property type;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Subordination levels or other credit enhancements as of the balance sheet date as compared to origination;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and regulatory cash obligations and the issuer's plans to meet such obligations.</w:t>
      </w:r>
    </w:p>
    <w:p>
      <w:pPr>
        <w:spacing w:after="0" w:line="9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Consolidated Statements of Earnings, with an offset for the amount of non-credit impairments recognized in AOCI. We do not measure a credit loss allowance on accrued investment income because we write-off accrued interest through Interest and investment income when collectability concerns arise.</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consider the following in determining whether write-offs of a security’s amortized cost are necessary:</w:t>
      </w:r>
    </w:p>
    <w:p>
      <w:pPr>
        <w:spacing w:after="0" w:line="94" w:lineRule="exact"/>
        <w:rPr>
          <w:sz w:val="20"/>
          <w:szCs w:val="20"/>
          <w:color w:val="auto"/>
        </w:rPr>
      </w:pPr>
    </w:p>
    <w:p>
      <w:pPr>
        <w:ind w:left="540" w:hanging="217"/>
        <w:spacing w:after="0"/>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believe amounts related to securities have become uncollectible;</w:t>
      </w:r>
    </w:p>
    <w:p>
      <w:pPr>
        <w:spacing w:after="0" w:line="93" w:lineRule="exact"/>
        <w:rPr>
          <w:rFonts w:ascii="Times New Roman" w:cs="Times New Roman" w:eastAsia="Times New Roman" w:hAnsi="Times New Roman"/>
          <w:sz w:val="14"/>
          <w:szCs w:val="14"/>
          <w:color w:val="auto"/>
        </w:rPr>
      </w:pPr>
    </w:p>
    <w:p>
      <w:pPr>
        <w:ind w:left="540" w:hanging="217"/>
        <w:spacing w:after="0"/>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sell a security; or</w:t>
      </w:r>
    </w:p>
    <w:p>
      <w:pPr>
        <w:spacing w:after="0" w:line="104" w:lineRule="exact"/>
        <w:rPr>
          <w:rFonts w:ascii="Times New Roman" w:cs="Times New Roman" w:eastAsia="Times New Roman" w:hAnsi="Times New Roman"/>
          <w:sz w:val="14"/>
          <w:szCs w:val="14"/>
          <w:color w:val="auto"/>
        </w:rPr>
      </w:pPr>
    </w:p>
    <w:p>
      <w:pPr>
        <w:ind w:left="540" w:hanging="217"/>
        <w:spacing w:after="0"/>
        <w:tabs>
          <w:tab w:leader="none" w:pos="5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more likely than not that we will be required to sell a security prior to recovery.</w:t>
      </w:r>
    </w:p>
    <w:p>
      <w:pPr>
        <w:spacing w:after="0" w:line="94"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If we intend to sell a fixed maturity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loss, to Recognized gains and losses, net in the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an impairment is deemed to have occurred and the amortized cost is written down to the estimated recovery value with a corresponding charge, net of any amount previously recognized as an allowance for expected credit loss, to Recognized gains and losses, net in the Consolidated Statements of Earnings. The remainder of unrealized loss is held in AOCI. As of December 31, 2025 and 2024, our allowance for expected credit losses for AFS securities was $112 million and $67 million, respectively.</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fair value and gross unrealized losses of AFS securities, excluding securities in an unrealized loss position with an allowance for expected credit loss, aggregated by investment category and duration of fair value below amortized cost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1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3"/>
        </w:trPr>
        <w:tc>
          <w:tcPr>
            <w:tcW w:w="4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54"/>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AFS securities</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20" w:type="dxa"/>
            <w:vAlign w:val="bottom"/>
            <w:gridSpan w:val="5"/>
            <w:shd w:val="clear" w:color="auto" w:fill="CCEEFF"/>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6,916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(2,367)</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AFS securities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9,600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15,352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(2,966)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24,952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(3,069)</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4180" w:type="dxa"/>
            <w:vAlign w:val="bottom"/>
            <w:shd w:val="clear" w:color="auto" w:fill="CCEEFF"/>
          </w:tcPr>
          <w:p>
            <w:pPr>
              <w:ind w:left="20"/>
              <w:spacing w:after="0" w:line="71" w:lineRule="exact"/>
              <w:rPr>
                <w:sz w:val="20"/>
                <w:szCs w:val="20"/>
                <w:color w:val="auto"/>
              </w:rPr>
            </w:pPr>
            <w:r>
              <w:rPr>
                <w:rFonts w:ascii="Times New Roman" w:cs="Times New Roman" w:eastAsia="Times New Roman" w:hAnsi="Times New Roman"/>
                <w:sz w:val="8"/>
                <w:szCs w:val="8"/>
                <w:color w:val="auto"/>
              </w:rPr>
              <w:t>Total number of available-for-sale securities in an unrealized loss position less than twelve</w:t>
            </w: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1,962</w:t>
            </w:r>
          </w:p>
        </w:tc>
        <w:tc>
          <w:tcPr>
            <w:tcW w:w="0" w:type="dxa"/>
            <w:vAlign w:val="bottom"/>
          </w:tcPr>
          <w:p>
            <w:pPr>
              <w:spacing w:after="0"/>
              <w:rPr>
                <w:sz w:val="1"/>
                <w:szCs w:val="1"/>
                <w:color w:val="auto"/>
              </w:rPr>
            </w:pPr>
          </w:p>
        </w:tc>
      </w:tr>
      <w:tr>
        <w:trPr>
          <w:trHeight w:val="154"/>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months</w:t>
            </w: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92" w:lineRule="exact"/>
              <w:rPr>
                <w:sz w:val="20"/>
                <w:szCs w:val="20"/>
                <w:color w:val="auto"/>
              </w:rPr>
            </w:pPr>
            <w:r>
              <w:rPr>
                <w:rFonts w:ascii="Times New Roman" w:cs="Times New Roman" w:eastAsia="Times New Roman" w:hAnsi="Times New Roman"/>
                <w:sz w:val="10"/>
                <w:szCs w:val="10"/>
                <w:color w:val="auto"/>
              </w:rPr>
              <w:t>Total number of available-for-sale securities in an unrealized loss position twelve months</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4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2,194</w:t>
            </w:r>
          </w:p>
        </w:tc>
        <w:tc>
          <w:tcPr>
            <w:tcW w:w="0" w:type="dxa"/>
            <w:vAlign w:val="bottom"/>
          </w:tcPr>
          <w:p>
            <w:pPr>
              <w:spacing w:after="0"/>
              <w:rPr>
                <w:sz w:val="1"/>
                <w:szCs w:val="1"/>
                <w:color w:val="auto"/>
              </w:rPr>
            </w:pPr>
          </w:p>
        </w:tc>
      </w:tr>
      <w:tr>
        <w:trPr>
          <w:trHeight w:val="134"/>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number of available-for-sale securities in an unrealized loss position</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gridSpan w:val="5"/>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ind w:left="480"/>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180" w:type="dxa"/>
            <w:vAlign w:val="bottom"/>
          </w:tcPr>
          <w:p>
            <w:pPr>
              <w:spacing w:after="0"/>
              <w:rPr>
                <w:sz w:val="13"/>
                <w:szCs w:val="13"/>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12 months or longer</w:t>
            </w:r>
          </w:p>
        </w:tc>
        <w:tc>
          <w:tcPr>
            <w:tcW w:w="180" w:type="dxa"/>
            <w:vAlign w:val="bottom"/>
          </w:tcPr>
          <w:p>
            <w:pPr>
              <w:spacing w:after="0"/>
              <w:rPr>
                <w:sz w:val="13"/>
                <w:szCs w:val="13"/>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1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ind w:right="83"/>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0" w:type="dxa"/>
            <w:vAlign w:val="bottom"/>
          </w:tcPr>
          <w:p>
            <w:pPr>
              <w:spacing w:after="0"/>
              <w:rPr>
                <w:sz w:val="1"/>
                <w:szCs w:val="1"/>
                <w:color w:val="auto"/>
              </w:rPr>
            </w:pPr>
          </w:p>
        </w:tc>
      </w:tr>
      <w:tr>
        <w:trPr>
          <w:trHeight w:val="14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AFS securities</w:t>
            </w: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Asset-backed securities</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1,164</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2,637</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(306)</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Corporates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9,866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(2,832)</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Hybrids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Municipals</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Residential mortgage-backed securities</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0" w:type="dxa"/>
            <w:vAlign w:val="bottom"/>
          </w:tcPr>
          <w:p>
            <w:pPr>
              <w:spacing w:after="0"/>
              <w:rPr>
                <w:sz w:val="1"/>
                <w:szCs w:val="1"/>
                <w:color w:val="auto"/>
              </w:rPr>
            </w:pPr>
          </w:p>
        </w:tc>
      </w:tr>
      <w:tr>
        <w:trPr>
          <w:trHeight w:val="153"/>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U.S. Government</w:t>
            </w: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Foreign Government</w:t>
            </w: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56"/>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AFS securities</w:t>
            </w: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16,141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(3,485)</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26,561</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(3,775)</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4180" w:type="dxa"/>
            <w:vAlign w:val="bottom"/>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Total number of available-for-sale securities in an unrealized loss position less than twelve</w:t>
            </w: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2,005</w:t>
            </w:r>
          </w:p>
        </w:tc>
        <w:tc>
          <w:tcPr>
            <w:tcW w:w="0" w:type="dxa"/>
            <w:vAlign w:val="bottom"/>
          </w:tcPr>
          <w:p>
            <w:pPr>
              <w:spacing w:after="0"/>
              <w:rPr>
                <w:sz w:val="1"/>
                <w:szCs w:val="1"/>
                <w:color w:val="auto"/>
              </w:rPr>
            </w:pPr>
          </w:p>
        </w:tc>
      </w:tr>
      <w:tr>
        <w:trPr>
          <w:trHeight w:val="15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months</w:t>
            </w: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88" w:lineRule="exact"/>
              <w:rPr>
                <w:sz w:val="20"/>
                <w:szCs w:val="20"/>
                <w:color w:val="auto"/>
              </w:rPr>
            </w:pPr>
            <w:r>
              <w:rPr>
                <w:rFonts w:ascii="Times New Roman" w:cs="Times New Roman" w:eastAsia="Times New Roman" w:hAnsi="Times New Roman"/>
                <w:sz w:val="10"/>
                <w:szCs w:val="10"/>
                <w:color w:val="auto"/>
              </w:rPr>
              <w:t>Total number of available-for-sale securities in an unrealized loss position twelve months</w:t>
            </w: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418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2,305</w:t>
            </w:r>
          </w:p>
        </w:tc>
        <w:tc>
          <w:tcPr>
            <w:tcW w:w="0" w:type="dxa"/>
            <w:vAlign w:val="bottom"/>
          </w:tcPr>
          <w:p>
            <w:pPr>
              <w:spacing w:after="0"/>
              <w:rPr>
                <w:sz w:val="1"/>
                <w:szCs w:val="1"/>
                <w:color w:val="auto"/>
              </w:rPr>
            </w:pPr>
          </w:p>
        </w:tc>
      </w:tr>
      <w:tr>
        <w:trPr>
          <w:trHeight w:val="138"/>
        </w:trPr>
        <w:tc>
          <w:tcPr>
            <w:tcW w:w="4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or longer</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number of available-for-sale securities in an unrealized loss position</w:t>
            </w: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determined the unrealized losses were caused by higher treasury rates compared to those at the time of the F&amp;G acquisition or the purchase of the security if later. For securities in an unrealized loss position as of December 31, 2025, our allowance for expected credit loss was $112 million. We believe the unrealized loss position for which we have not recorded an allowance for expected credit loss as of December 31, 2025 was primarily attributable to interest rate increases, near-term illiquidity, and other macroeconomic uncertainties as opposed to issuer specific credit concerns.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Mortgage Loans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mortgage loans are collateralized by commercial and residential properties.</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Commercial Mortgage Loans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Commercial mortgage loans (“CMLs”) represented approximately 4% of our total investments as of December 31, 2025 and 2024. The mortgage loans in our investment portfolio are generally comprised of high quality commercial first lien and mezzanine real estate loans. Mortgage loans are primarily on income producing properties including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20" w:type="dxa"/>
            <w:vAlign w:val="bottom"/>
            <w:tcBorders>
              <w:bottom w:val="single" w:sz="8" w:color="auto"/>
            </w:tcBorders>
          </w:tcPr>
          <w:p>
            <w:pPr>
              <w:spacing w:after="0"/>
              <w:rPr>
                <w:sz w:val="13"/>
                <w:szCs w:val="13"/>
                <w:color w:val="auto"/>
              </w:rPr>
            </w:pPr>
          </w:p>
        </w:tc>
      </w:tr>
      <w:tr>
        <w:trPr>
          <w:trHeight w:val="154"/>
        </w:trPr>
        <w:tc>
          <w:tcPr>
            <w:tcW w:w="5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Value</w:t>
            </w: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w w:val="98"/>
              </w:rPr>
              <w:t>% of Total</w:t>
            </w:r>
          </w:p>
        </w:tc>
      </w:tr>
      <w:tr>
        <w:trPr>
          <w:trHeight w:val="155"/>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Property Type:</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5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020" w:type="dxa"/>
            <w:vAlign w:val="bottom"/>
            <w:shd w:val="clear" w:color="auto" w:fill="CCEEFF"/>
          </w:tcPr>
          <w:p>
            <w:pPr>
              <w:spacing w:after="0"/>
              <w:rPr>
                <w:sz w:val="13"/>
                <w:szCs w:val="13"/>
                <w:color w:val="auto"/>
              </w:rPr>
            </w:pP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Hotel</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 %</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Industrial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Mixed Use</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Multifamily</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37</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Office</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Retail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Student Housing</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r>
      <w:tr>
        <w:trPr>
          <w:trHeight w:val="15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1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654</w:t>
            </w:r>
          </w:p>
        </w:tc>
        <w:tc>
          <w:tcPr>
            <w:tcW w:w="8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18</w:t>
            </w: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 CMLs, gross of valuation allowance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3,260</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4"/>
        </w:trPr>
        <w:tc>
          <w:tcPr>
            <w:tcW w:w="5160" w:type="dxa"/>
            <w:vAlign w:val="bottom"/>
            <w:shd w:val="clear" w:color="auto" w:fill="CCEEFF"/>
          </w:tcPr>
          <w:p>
            <w:pPr>
              <w:ind w:left="440"/>
              <w:spacing w:after="0" w:line="114" w:lineRule="exact"/>
              <w:rPr>
                <w:sz w:val="20"/>
                <w:szCs w:val="20"/>
                <w:color w:val="auto"/>
              </w:rPr>
            </w:pPr>
            <w:r>
              <w:rPr>
                <w:rFonts w:ascii="Times New Roman" w:cs="Times New Roman" w:eastAsia="Times New Roman" w:hAnsi="Times New Roman"/>
                <w:sz w:val="11"/>
                <w:szCs w:val="11"/>
                <w:color w:val="auto"/>
              </w:rPr>
              <w:t>Allowance for expected credit loss</w:t>
            </w:r>
          </w:p>
        </w:tc>
        <w:tc>
          <w:tcPr>
            <w:tcW w:w="12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 CMLs, net of valuation allowance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3,242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r>
      <w:tr>
        <w:trPr>
          <w:trHeight w:val="131"/>
        </w:trPr>
        <w:tc>
          <w:tcPr>
            <w:tcW w:w="5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r>
      <w:tr>
        <w:trPr>
          <w:trHeight w:val="154"/>
        </w:trPr>
        <w:tc>
          <w:tcPr>
            <w:tcW w:w="51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Region:</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East North Central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4 %</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East South Central</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Middle Atlantic</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Mountain</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396</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New England</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26</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 Atlantic</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1,157</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25</w:t>
            </w:r>
          </w:p>
        </w:tc>
      </w:tr>
      <w:tr>
        <w:trPr>
          <w:trHeight w:val="153"/>
        </w:trPr>
        <w:tc>
          <w:tcPr>
            <w:tcW w:w="51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West North Central</w:t>
            </w:r>
          </w:p>
        </w:tc>
        <w:tc>
          <w:tcPr>
            <w:tcW w:w="12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69</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West South Central</w:t>
            </w: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w:t>
            </w:r>
          </w:p>
        </w:tc>
        <w:tc>
          <w:tcPr>
            <w:tcW w:w="8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w:t>
            </w:r>
          </w:p>
        </w:tc>
      </w:tr>
      <w:tr>
        <w:trPr>
          <w:trHeight w:val="150"/>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 CMLs, gross of valuation allowance</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3,260</w:t>
            </w:r>
          </w:p>
        </w:tc>
        <w:tc>
          <w:tcPr>
            <w:tcW w:w="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14"/>
        </w:trPr>
        <w:tc>
          <w:tcPr>
            <w:tcW w:w="5160" w:type="dxa"/>
            <w:vAlign w:val="bottom"/>
            <w:shd w:val="clear" w:color="auto" w:fill="CCEEFF"/>
          </w:tcPr>
          <w:p>
            <w:pPr>
              <w:ind w:left="440"/>
              <w:spacing w:after="0" w:line="114" w:lineRule="exact"/>
              <w:rPr>
                <w:sz w:val="20"/>
                <w:szCs w:val="20"/>
                <w:color w:val="auto"/>
              </w:rPr>
            </w:pPr>
            <w:r>
              <w:rPr>
                <w:rFonts w:ascii="Times New Roman" w:cs="Times New Roman" w:eastAsia="Times New Roman" w:hAnsi="Times New Roman"/>
                <w:sz w:val="11"/>
                <w:szCs w:val="11"/>
                <w:color w:val="auto"/>
              </w:rPr>
              <w:t>Allowance for expected credit loss</w:t>
            </w:r>
          </w:p>
        </w:tc>
        <w:tc>
          <w:tcPr>
            <w:tcW w:w="120" w:type="dxa"/>
            <w:vAlign w:val="bottom"/>
            <w:tcBorders>
              <w:bottom w:val="single" w:sz="8" w:color="auto"/>
            </w:tcBorders>
            <w:shd w:val="clear" w:color="auto" w:fill="CCEEFF"/>
          </w:tcPr>
          <w:p>
            <w:pPr>
              <w:spacing w:after="0"/>
              <w:rPr>
                <w:sz w:val="9"/>
                <w:szCs w:val="9"/>
                <w:color w:val="auto"/>
              </w:rPr>
            </w:pPr>
          </w:p>
        </w:tc>
        <w:tc>
          <w:tcPr>
            <w:tcW w:w="130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(17)</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56"/>
        </w:trPr>
        <w:tc>
          <w:tcPr>
            <w:tcW w:w="51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 CMLs, net of valuation allowance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3,242</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An individual loan, or a portion thereof, is charged off when it is determined to be uncollectible. There were no charge offs for CMLs for the years ended December 31, 2025 and 2024. CMLs segregated by aging of the loans (by year of origination), gross of valuation allowances, were as follows for the years ended December 31, 2025 and 2024: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0"/>
        </w:trPr>
        <w:tc>
          <w:tcPr>
            <w:tcW w:w="46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CMLs</w:t>
            </w: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3,248</w:t>
            </w: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r>
      <w:tr>
        <w:trPr>
          <w:trHeight w:val="175"/>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3,260</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46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50"/>
        </w:trPr>
        <w:tc>
          <w:tcPr>
            <w:tcW w:w="46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CMLs</w:t>
            </w: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3"/>
                <w:szCs w:val="13"/>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2,713</w:t>
            </w: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75"/>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Loan-to-value (“LTV”)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present the recorded investment in CMLs by LTV and DSC ratio categories and estimated fair value by the indicated LTV ratios, gross of valuation allowances</w:t>
      </w:r>
      <w:r>
        <w:rPr>
          <w:rFonts w:ascii="Times New Roman" w:cs="Times New Roman" w:eastAsia="Times New Roman" w:hAnsi="Times New Roman"/>
          <w:sz w:val="12"/>
          <w:szCs w:val="12"/>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Debt-Service Coverage Ratios</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Total Amount</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80" w:type="dxa"/>
            <w:vAlign w:val="bottom"/>
          </w:tcPr>
          <w:p>
            <w:pPr>
              <w:spacing w:after="0"/>
              <w:rPr>
                <w:sz w:val="13"/>
                <w:szCs w:val="13"/>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9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4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4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&gt;1.25</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1.00 - 1.25</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vMerge w:val="restart"/>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&lt;1.00</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6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 Ratios: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852</w:t>
            </w:r>
          </w:p>
        </w:tc>
        <w:tc>
          <w:tcPr>
            <w:tcW w:w="1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28</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75"/>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4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LTV Ratios: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0" w:type="dxa"/>
            <w:vAlign w:val="bottom"/>
          </w:tcPr>
          <w:p>
            <w:pPr>
              <w:spacing w:after="0"/>
              <w:rPr>
                <w:sz w:val="1"/>
                <w:szCs w:val="1"/>
                <w:color w:val="auto"/>
              </w:rPr>
            </w:pPr>
          </w:p>
        </w:tc>
      </w:tr>
      <w:tr>
        <w:trPr>
          <w:trHeight w:val="153"/>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10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2,404</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Pr>
          <w:p>
            <w:pPr>
              <w:spacing w:after="0"/>
              <w:rPr>
                <w:sz w:val="12"/>
                <w:szCs w:val="12"/>
                <w:color w:val="auto"/>
              </w:rPr>
            </w:pP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LTV Ratios: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1,709</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600" w:type="dxa"/>
            <w:vAlign w:val="bottom"/>
          </w:tcPr>
          <w:p>
            <w:pPr>
              <w:spacing w:after="0"/>
              <w:rPr>
                <w:sz w:val="13"/>
                <w:szCs w:val="13"/>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0" w:type="dxa"/>
            <w:vAlign w:val="bottom"/>
          </w:tcPr>
          <w:p>
            <w:pPr>
              <w:spacing w:after="0"/>
              <w:rPr>
                <w:sz w:val="1"/>
                <w:szCs w:val="1"/>
                <w:color w:val="auto"/>
              </w:rPr>
            </w:pPr>
          </w:p>
        </w:tc>
      </w:tr>
      <w:tr>
        <w:trPr>
          <w:trHeight w:val="181"/>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3,260</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DSC Ratios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1.25x</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2,859</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1.00x - 1.25x</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1.00x</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0" w:type="dxa"/>
            <w:vAlign w:val="bottom"/>
          </w:tcPr>
          <w:p>
            <w:pPr>
              <w:spacing w:after="0"/>
              <w:rPr>
                <w:sz w:val="1"/>
                <w:szCs w:val="1"/>
                <w:color w:val="auto"/>
              </w:rPr>
            </w:pPr>
          </w:p>
        </w:tc>
      </w:tr>
      <w:tr>
        <w:trPr>
          <w:trHeight w:val="150"/>
        </w:trPr>
        <w:tc>
          <w:tcPr>
            <w:tcW w:w="4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60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646</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1,252</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3,260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46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6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Prior</w:t>
            </w:r>
          </w:p>
        </w:tc>
        <w:tc>
          <w:tcPr>
            <w:tcW w:w="180" w:type="dxa"/>
            <w:vAlign w:val="bottom"/>
          </w:tcPr>
          <w:p>
            <w:pPr>
              <w:spacing w:after="0"/>
              <w:rPr>
                <w:sz w:val="12"/>
                <w:szCs w:val="12"/>
                <w:color w:val="auto"/>
              </w:rPr>
            </w:pPr>
          </w:p>
        </w:tc>
        <w:tc>
          <w:tcPr>
            <w:tcW w:w="68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LTV Ratios:</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50.00%</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50.00% to 59.99%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60.00% to 74.99%</w:t>
            </w: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75.00% to 84.99%</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81"/>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60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DSC Ratios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1.25x</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2,535</w:t>
            </w:r>
          </w:p>
        </w:tc>
        <w:tc>
          <w:tcPr>
            <w:tcW w:w="0" w:type="dxa"/>
            <w:vAlign w:val="bottom"/>
          </w:tcPr>
          <w:p>
            <w:pPr>
              <w:spacing w:after="0"/>
              <w:rPr>
                <w:sz w:val="1"/>
                <w:szCs w:val="1"/>
                <w:color w:val="auto"/>
              </w:rPr>
            </w:pPr>
          </w:p>
        </w:tc>
      </w:tr>
      <w:tr>
        <w:trPr>
          <w:trHeight w:val="153"/>
        </w:trPr>
        <w:tc>
          <w:tcPr>
            <w:tcW w:w="4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1.00x - 1.25x</w:t>
            </w:r>
          </w:p>
        </w:tc>
        <w:tc>
          <w:tcPr>
            <w:tcW w:w="6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than 1.00x</w:t>
            </w:r>
          </w:p>
        </w:tc>
        <w:tc>
          <w:tcPr>
            <w:tcW w:w="60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0"/>
        </w:trPr>
        <w:tc>
          <w:tcPr>
            <w:tcW w:w="46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CMLs</w:t>
            </w:r>
          </w:p>
        </w:tc>
        <w:tc>
          <w:tcPr>
            <w:tcW w:w="60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1253</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recognize a mortgage loan as delinquent when payments on the loan are greater than 30 days past due. As of December 31, 2025 and 2024, we had one CML that was delinquent in principal or interest payments as shown in the tables above.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Residential Mortgage Loans</w:t>
      </w:r>
    </w:p>
    <w:p>
      <w:pPr>
        <w:spacing w:after="0" w:line="202"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Residential mortgage loans (“RMLs”) represented approximately 7% and 5% of our total investments reported on the Condensed Consolidated Balance Sheets as of December 31, 2025 and 2024, respectively. Our RMLs are primarily closed end, amortizing loans and 100% of the properties are located in the United States. We diversify our RML portfolio by state to attempt to reduce concentration risk. The distribution of RMLs by state with highest-to-lowest concentration are reflected in the following tables, gross of valuation allowances: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40" w:type="dxa"/>
            <w:vAlign w:val="bottom"/>
            <w:tcBorders>
              <w:bottom w:val="single" w:sz="8" w:color="auto"/>
            </w:tcBorders>
          </w:tcPr>
          <w:p>
            <w:pPr>
              <w:spacing w:after="0"/>
              <w:rPr>
                <w:sz w:val="13"/>
                <w:szCs w:val="13"/>
                <w:color w:val="auto"/>
              </w:rPr>
            </w:pPr>
          </w:p>
        </w:tc>
      </w:tr>
      <w:tr>
        <w:trPr>
          <w:trHeight w:val="154"/>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States:</w:t>
            </w:r>
          </w:p>
        </w:tc>
        <w:tc>
          <w:tcPr>
            <w:tcW w:w="20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288</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6 %</w:t>
            </w:r>
          </w:p>
        </w:tc>
      </w:tr>
      <w:tr>
        <w:trPr>
          <w:trHeight w:val="153"/>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58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New York</w:t>
            </w: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 other states (a)</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3,951</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84</w:t>
            </w:r>
          </w:p>
        </w:tc>
      </w:tr>
      <w:tr>
        <w:trPr>
          <w:trHeight w:val="15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 gross of valuation allowance</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4,717</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8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Allowance for expected credit loss</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r>
      <w:tr>
        <w:trPr>
          <w:trHeight w:val="18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 net of valuation allowance</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4,649</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The individual concentration of each state is less than 5% as of December 31, 2025.</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40" w:type="dxa"/>
            <w:vAlign w:val="bottom"/>
            <w:tcBorders>
              <w:bottom w:val="single" w:sz="8" w:color="auto"/>
            </w:tcBorders>
          </w:tcPr>
          <w:p>
            <w:pPr>
              <w:spacing w:after="0"/>
              <w:rPr>
                <w:sz w:val="13"/>
                <w:szCs w:val="13"/>
                <w:color w:val="auto"/>
              </w:rPr>
            </w:pPr>
          </w:p>
        </w:tc>
      </w:tr>
      <w:tr>
        <w:trPr>
          <w:trHeight w:val="154"/>
        </w:trPr>
        <w:tc>
          <w:tcPr>
            <w:tcW w:w="8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U.S. States:</w:t>
            </w:r>
          </w:p>
        </w:tc>
        <w:tc>
          <w:tcPr>
            <w:tcW w:w="204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 (In millions)</w:t>
            </w: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of Total</w:t>
            </w:r>
          </w:p>
        </w:tc>
      </w:tr>
      <w:tr>
        <w:trPr>
          <w:trHeight w:val="155"/>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5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All other states (a)</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3,110</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95</w:t>
            </w:r>
          </w:p>
        </w:tc>
      </w:tr>
      <w:tr>
        <w:trPr>
          <w:trHeight w:val="15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 gross of valuation allowance</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r>
      <w:tr>
        <w:trPr>
          <w:trHeight w:val="153"/>
        </w:trPr>
        <w:tc>
          <w:tcPr>
            <w:tcW w:w="82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1"/>
                <w:szCs w:val="11"/>
                <w:color w:val="auto"/>
              </w:rPr>
              <w:t>Allowance for expected credit loss</w:t>
            </w: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r>
      <w:tr>
        <w:trPr>
          <w:trHeight w:val="18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 net of valuation allowance</w:t>
            </w: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3,221</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The individual concentration of each state is less than 5% as of December 31, 2024.</w:t>
      </w:r>
    </w:p>
    <w:p>
      <w:pPr>
        <w:spacing w:after="0" w:line="8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RMLs have a primary credit quality indicator of either a performing or non-performing loan. We define non-performing residential mortgage loans as those that are 90 or more days past due or in non-accrual status, which is assessed monthly. The credit quality of RMLs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3"/>
          </w:tcPr>
          <w:p>
            <w:pPr>
              <w:jc w:val="right"/>
              <w:ind w:right="8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0"/>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20" w:type="dxa"/>
            <w:vAlign w:val="bottom"/>
          </w:tcPr>
          <w:p>
            <w:pPr>
              <w:spacing w:after="0"/>
              <w:rPr>
                <w:sz w:val="13"/>
                <w:szCs w:val="13"/>
                <w:color w:val="auto"/>
              </w:rPr>
            </w:pPr>
          </w:p>
        </w:tc>
        <w:tc>
          <w:tcPr>
            <w:tcW w:w="10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00" w:type="dxa"/>
            <w:vAlign w:val="bottom"/>
          </w:tcPr>
          <w:p>
            <w:pPr>
              <w:spacing w:after="0"/>
              <w:rPr>
                <w:sz w:val="13"/>
                <w:szCs w:val="13"/>
                <w:color w:val="auto"/>
              </w:rPr>
            </w:pPr>
          </w:p>
        </w:tc>
        <w:tc>
          <w:tcPr>
            <w:tcW w:w="13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0" w:type="dxa"/>
            <w:vAlign w:val="bottom"/>
          </w:tcPr>
          <w:p>
            <w:pPr>
              <w:spacing w:after="0"/>
              <w:rPr>
                <w:sz w:val="1"/>
                <w:szCs w:val="1"/>
                <w:color w:val="auto"/>
              </w:rPr>
            </w:pPr>
          </w:p>
        </w:tc>
      </w:tr>
      <w:tr>
        <w:trPr>
          <w:trHeight w:val="154"/>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indicators:</w:t>
            </w:r>
          </w:p>
        </w:tc>
        <w:tc>
          <w:tcPr>
            <w:tcW w:w="160" w:type="dxa"/>
            <w:vAlign w:val="bottom"/>
          </w:tcPr>
          <w:p>
            <w:pPr>
              <w:spacing w:after="0"/>
              <w:rPr>
                <w:sz w:val="13"/>
                <w:szCs w:val="13"/>
                <w:color w:val="auto"/>
              </w:rPr>
            </w:pPr>
          </w:p>
        </w:tc>
        <w:tc>
          <w:tcPr>
            <w:tcW w:w="112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0" w:type="dxa"/>
            <w:vAlign w:val="bottom"/>
          </w:tcPr>
          <w:p>
            <w:pPr>
              <w:spacing w:after="0"/>
              <w:rPr>
                <w:sz w:val="1"/>
                <w:szCs w:val="1"/>
                <w:color w:val="auto"/>
              </w:rPr>
            </w:pPr>
          </w:p>
        </w:tc>
      </w:tr>
      <w:tr>
        <w:trPr>
          <w:trHeight w:val="164"/>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Performing</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4,650</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3,188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97 %</w:t>
            </w:r>
          </w:p>
        </w:tc>
        <w:tc>
          <w:tcPr>
            <w:tcW w:w="0" w:type="dxa"/>
            <w:vAlign w:val="bottom"/>
          </w:tcPr>
          <w:p>
            <w:pPr>
              <w:spacing w:after="0"/>
              <w:rPr>
                <w:sz w:val="1"/>
                <w:szCs w:val="1"/>
                <w:color w:val="auto"/>
              </w:rPr>
            </w:pPr>
          </w:p>
        </w:tc>
      </w:tr>
      <w:tr>
        <w:trPr>
          <w:trHeight w:val="153"/>
        </w:trPr>
        <w:tc>
          <w:tcPr>
            <w:tcW w:w="5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Non-performing</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w:t>
            </w:r>
          </w:p>
        </w:tc>
        <w:tc>
          <w:tcPr>
            <w:tcW w:w="1480" w:type="dxa"/>
            <w:vAlign w:val="bottom"/>
            <w:gridSpan w:val="2"/>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81"/>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 gross of valuation allowance</w:t>
            </w:r>
          </w:p>
        </w:tc>
        <w:tc>
          <w:tcPr>
            <w:tcW w:w="16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Allowance for expected loan loss</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620" w:type="dxa"/>
            <w:vAlign w:val="bottom"/>
            <w:tcBorders>
              <w:bottom w:val="single" w:sz="8" w:color="CCEEFF"/>
            </w:tcBorders>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20" w:type="dxa"/>
            <w:vAlign w:val="bottom"/>
            <w:tcBorders>
              <w:bottom w:val="single" w:sz="8" w:color="CCEEFF"/>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3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 net of valuation allowance</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4,649</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3,221</w:t>
            </w:r>
          </w:p>
        </w:tc>
        <w:tc>
          <w:tcPr>
            <w:tcW w:w="1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An individual loan, or a portion thereof, is charged off when it is determined to be uncollectible. There were no charge offs recorded for RMLs during the year ended December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RMLs segregated by aging of the loans (by year of origination) as of December 31, 2025 and 2024 were as follows, gross of valuation allowances: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4"/>
        </w:trPr>
        <w:tc>
          <w:tcPr>
            <w:tcW w:w="48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0"/>
        </w:trPr>
        <w:tc>
          <w:tcPr>
            <w:tcW w:w="48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RMLs</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1,568</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798</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731</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4,579</w:t>
            </w: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1,585</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839</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314"/>
        </w:trPr>
        <w:tc>
          <w:tcPr>
            <w:tcW w:w="48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54"/>
        </w:trPr>
        <w:tc>
          <w:tcPr>
            <w:tcW w:w="48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Amortized Cost by Origination Year</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r>
      <w:tr>
        <w:trPr>
          <w:trHeight w:val="150"/>
        </w:trPr>
        <w:tc>
          <w:tcPr>
            <w:tcW w:w="48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2020</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Prior</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RMLs</w:t>
            </w: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(less than 30 days past due)</w:t>
            </w:r>
          </w:p>
        </w:tc>
        <w:tc>
          <w:tcPr>
            <w:tcW w:w="600" w:type="dxa"/>
            <w:vAlign w:val="bottom"/>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w:t>
            </w:r>
          </w:p>
        </w:tc>
        <w:tc>
          <w:tcPr>
            <w:tcW w:w="2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805</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2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3,168</w:t>
            </w:r>
          </w:p>
        </w:tc>
      </w:tr>
      <w:tr>
        <w:trPr>
          <w:trHeight w:val="16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30-89 days past due</w:t>
            </w: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90 days or more past due</w:t>
            </w: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w:t>
            </w: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RMLS</w:t>
            </w: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614</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840</w:t>
            </w: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340</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Non-accrual loans by amortized cost as of December 31, 2025 and 2024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9"/>
        </w:trPr>
        <w:tc>
          <w:tcPr>
            <w:tcW w:w="73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60" w:type="dxa"/>
            <w:vAlign w:val="bottom"/>
            <w:shd w:val="clear" w:color="auto" w:fill="CCEEFF"/>
          </w:tcPr>
          <w:p>
            <w:pPr>
              <w:spacing w:after="0"/>
              <w:rPr>
                <w:sz w:val="13"/>
                <w:szCs w:val="13"/>
                <w:color w:val="auto"/>
              </w:rPr>
            </w:pPr>
          </w:p>
        </w:tc>
      </w:tr>
      <w:tr>
        <w:trPr>
          <w:trHeight w:val="153"/>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Residential mortgage</w:t>
            </w:r>
          </w:p>
        </w:tc>
        <w:tc>
          <w:tcPr>
            <w:tcW w:w="1560" w:type="dxa"/>
            <w:vAlign w:val="bottom"/>
          </w:tcPr>
          <w:p>
            <w:pPr>
              <w:jc w:val="right"/>
              <w:ind w:right="14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44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w:t>
            </w:r>
          </w:p>
        </w:tc>
      </w:tr>
      <w:tr>
        <w:trPr>
          <w:trHeight w:val="15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Commercial mortgage</w:t>
            </w:r>
          </w:p>
        </w:tc>
        <w:tc>
          <w:tcPr>
            <w:tcW w:w="15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4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r>
      <w:tr>
        <w:trPr>
          <w:trHeight w:val="156"/>
        </w:trPr>
        <w:tc>
          <w:tcPr>
            <w:tcW w:w="73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non-accrual mortgages</w:t>
            </w:r>
          </w:p>
        </w:tc>
        <w:tc>
          <w:tcPr>
            <w:tcW w:w="1560" w:type="dxa"/>
            <w:vAlign w:val="bottom"/>
            <w:tcBorders>
              <w:bottom w:val="single" w:sz="8" w:color="auto"/>
            </w:tcBorders>
          </w:tcPr>
          <w:p>
            <w:pPr>
              <w:jc w:val="right"/>
              <w:ind w:right="14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w:t>
            </w: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94</w:t>
            </w:r>
          </w:p>
        </w:tc>
      </w:tr>
      <w:tr>
        <w:trPr>
          <w:trHeight w:val="20"/>
        </w:trPr>
        <w:tc>
          <w:tcPr>
            <w:tcW w:w="7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Immaterial interest income was recognized on non-accrual financing receivables for the years ended December 31, 2025 and 2024.</w:t>
      </w:r>
    </w:p>
    <w:p>
      <w:pPr>
        <w:spacing w:after="0" w:line="62"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It is our policy to cease to accrue interest on loans that are delinquent for 90 days or more. For loans less than 90 days delinquent, interest is accrued unless it is determined that the accrued interest is not collectible. If a loan becomes 90 days or more delinquent, it is our general policy to initiate foreclosure proceedings unless a workout arrangement to bring the loan current is in place. As of December 31, 2025 and 2024, we had $79 million and $94 million, respectively, of mortgage loans that were over 90 days past due.</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and 2024 we had $111 million and $81 million, respectively, of residential mortgage loans that were in the process of foreclosure.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Loan Modifications</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Under certain circumstances, modifications are granted to mortgage loans. Generally, the types of concessions may include interest rate reduction, term extension, payment deferrals, principal forgiveness or a combination of these concessions. We had an immaterial amount of mortgage loans modified during the years ended December 31, 2025 and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Expected Credit Loss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estimate expected credit losses for our commercial and residential mortgage loan portfolios using a probability of default/loss given default model. Significant inputs to this model include, where applicable, the loans' current performance, underlying collateral type, location, contractual life, LTV, DSC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Consolidated Statements of Earnings.</w:t>
      </w:r>
    </w:p>
    <w:p>
      <w:pPr>
        <w:spacing w:after="0" w:line="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allowances for our mortgage loan portfolio are summarized as follows:</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40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ind w:left="543"/>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020" w:type="dxa"/>
            <w:vAlign w:val="bottom"/>
          </w:tcPr>
          <w:p>
            <w:pPr>
              <w:spacing w:after="0"/>
              <w:rPr>
                <w:sz w:val="9"/>
                <w:szCs w:val="9"/>
                <w:color w:val="auto"/>
              </w:rPr>
            </w:pPr>
          </w:p>
        </w:tc>
        <w:tc>
          <w:tcPr>
            <w:tcW w:w="820" w:type="dxa"/>
            <w:vAlign w:val="bottom"/>
          </w:tcPr>
          <w:p>
            <w:pPr>
              <w:jc w:val="right"/>
              <w:spacing w:after="0" w:line="104"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60" w:type="dxa"/>
            <w:vAlign w:val="bottom"/>
          </w:tcPr>
          <w:p>
            <w:pPr>
              <w:spacing w:after="0"/>
              <w:rPr>
                <w:sz w:val="9"/>
                <w:szCs w:val="9"/>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9"/>
                <w:szCs w:val="9"/>
                <w:color w:val="auto"/>
              </w:rPr>
            </w:pPr>
          </w:p>
        </w:tc>
        <w:tc>
          <w:tcPr>
            <w:tcW w:w="980" w:type="dxa"/>
            <w:vAlign w:val="bottom"/>
            <w:gridSpan w:val="2"/>
          </w:tcPr>
          <w:p>
            <w:pPr>
              <w:jc w:val="center"/>
              <w:ind w:right="240"/>
              <w:spacing w:after="0" w:line="104" w:lineRule="exact"/>
              <w:rPr>
                <w:sz w:val="20"/>
                <w:szCs w:val="20"/>
                <w:color w:val="auto"/>
              </w:rPr>
            </w:pPr>
            <w:r>
              <w:rPr>
                <w:rFonts w:ascii="Times New Roman" w:cs="Times New Roman" w:eastAsia="Times New Roman" w:hAnsi="Times New Roman"/>
                <w:sz w:val="11"/>
                <w:szCs w:val="11"/>
                <w:b w:val="1"/>
                <w:bCs w:val="1"/>
                <w:color w:val="auto"/>
              </w:rPr>
              <w:t>Residential</w:t>
            </w:r>
          </w:p>
        </w:tc>
        <w:tc>
          <w:tcPr>
            <w:tcW w:w="140" w:type="dxa"/>
            <w:vAlign w:val="bottom"/>
          </w:tcPr>
          <w:p>
            <w:pPr>
              <w:spacing w:after="0"/>
              <w:rPr>
                <w:sz w:val="9"/>
                <w:szCs w:val="9"/>
                <w:color w:val="auto"/>
              </w:rPr>
            </w:pPr>
          </w:p>
        </w:tc>
        <w:tc>
          <w:tcPr>
            <w:tcW w:w="102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260" w:type="dxa"/>
            <w:vAlign w:val="bottom"/>
          </w:tcPr>
          <w:p>
            <w:pPr>
              <w:spacing w:after="0"/>
              <w:rPr>
                <w:sz w:val="9"/>
                <w:szCs w:val="9"/>
                <w:color w:val="auto"/>
              </w:rPr>
            </w:pPr>
          </w:p>
        </w:tc>
        <w:tc>
          <w:tcPr>
            <w:tcW w:w="78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6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Mortgage</w:t>
            </w: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Beginning Balance</w:t>
            </w:r>
          </w:p>
        </w:tc>
        <w:tc>
          <w:tcPr>
            <w:tcW w:w="820" w:type="dxa"/>
            <w:vAlign w:val="bottom"/>
            <w:tcBorders>
              <w:top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Provision (expense) benefit for loan losses</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Ending Balance</w:t>
            </w:r>
          </w:p>
        </w:tc>
        <w:tc>
          <w:tcPr>
            <w:tcW w:w="820" w:type="dxa"/>
            <w:vAlign w:val="bottom"/>
            <w:tcBorders>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80" w:lineRule="auto"/>
        <w:rPr>
          <w:sz w:val="20"/>
          <w:szCs w:val="20"/>
          <w:color w:val="auto"/>
        </w:rPr>
      </w:pPr>
      <w:r>
        <w:rPr>
          <w:rFonts w:ascii="Times New Roman" w:cs="Times New Roman" w:eastAsia="Times New Roman" w:hAnsi="Times New Roman"/>
          <w:sz w:val="14"/>
          <w:szCs w:val="14"/>
          <w:color w:val="auto"/>
        </w:rPr>
        <w:t>An allowance for expected credit loss is not measured on accrued interest income for commercial mortgage loans as we have a process to write-off interest on loans that enter into non-accrual status (90 days or more past due). Allowances for expected credit losses are measured on accrued interest income for residential mortgage loans and were immaterial as of December 31, 2025 and 2024.</w:t>
      </w:r>
    </w:p>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purchases of purchased credit deteriorated mortgage loans during the years ended December 31, 2025 and 2024.</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the accrued interest receivable balance on CMLs totaled $11 million and $8 million, respectively, and the accrued interest receivable on RMLs totaled $45 million and $28 million, respectively. Accrued interest receivable is classified within Prepaid expenses and other assets within the Consolidated Balance Sheets.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and Investment Income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major sources of Interest and investment income reported on the Consolidated Statements of Earnings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1,911</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equity securities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Common equity securities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Mortgage loans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Invested cash and short-term investments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Limited partnerships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deferred property exchange income</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r>
      <w:tr>
        <w:trPr>
          <w:trHeight w:val="15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 investments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w:t>
            </w:r>
          </w:p>
        </w:tc>
      </w:tr>
      <w:tr>
        <w:trPr>
          <w:trHeight w:val="156"/>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Gross investment income</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2,864</w:t>
            </w:r>
          </w:p>
        </w:tc>
      </w:tr>
      <w:tr>
        <w:trPr>
          <w:trHeight w:val="15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Investment expense</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w:t>
            </w:r>
          </w:p>
        </w:tc>
      </w:tr>
      <w:tr>
        <w:trPr>
          <w:trHeight w:val="181"/>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Interest and investment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Interest and investment income is shown net of amounts attributable to certain funds withheld reinsurance agreements, which is passed along to the reinsurer in accordance with the terms of these agreements. Interest and investment income attributable to these agreements, and thus excluded from the totals in the table above, was $816 million, $636 million, and $339 million for the years ended December 31, 2025, 2024, and 2023,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Recognized Gains and Losses, Net</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Details underlying Recognized gains and losses, net reported on the Consolidated Statements of Earnings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4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5"/>
        </w:trPr>
        <w:tc>
          <w:tcPr>
            <w:tcW w:w="7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 (losses) on fixed maturity available-for-sale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realized/unrealized (losses) gains on preferred equity securities (a)</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realized/unrealized (losses) gains on common equity securities (b)</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realized gains (losses) on other invested assets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r>
      <w:tr>
        <w:trPr>
          <w:trHeight w:val="153"/>
        </w:trPr>
        <w:tc>
          <w:tcPr>
            <w:tcW w:w="7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 in allowance for expected credit losses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6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Derivatives and embedded derivatives: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Realized (losses) gains on certain derivative instruments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Unrealized gains (losses) on certain derivative instruments</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r>
      <w:tr>
        <w:trPr>
          <w:trHeight w:val="153"/>
        </w:trPr>
        <w:tc>
          <w:tcPr>
            <w:tcW w:w="74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Change in fair value of reinsurance related embedded derivatives (c)</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r>
      <w:tr>
        <w:trPr>
          <w:trHeight w:val="165"/>
        </w:trPr>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Change in fair value of other derivatives and embedded derivatives</w:t>
            </w: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44"/>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realized/unrealized gains on derivatives and embedded derivatives</w:t>
            </w: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81"/>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Recognized gains and losses,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right="4120"/>
        <w:spacing w:after="0" w:line="280" w:lineRule="auto"/>
        <w:rPr>
          <w:sz w:val="20"/>
          <w:szCs w:val="20"/>
          <w:color w:val="auto"/>
        </w:rPr>
      </w:pPr>
      <w:r>
        <w:rPr>
          <w:rFonts w:ascii="Times New Roman" w:cs="Times New Roman" w:eastAsia="Times New Roman" w:hAnsi="Times New Roman"/>
          <w:sz w:val="11"/>
          <w:szCs w:val="11"/>
          <w:color w:val="auto"/>
        </w:rPr>
        <w:t>(a) Includes net valuation (losses) gains of $(8) million, $(131) million, and $47 million for the years ended December 31, 2025, 2024, and 2023, respectively. (b) Includes net valuation gains (losses) of $(1) million, $13 million, and $80 million for the years ended December 31, 2025, 2024, and 2023, respectively (c) Change in fair value of reinsurance related embedded derivatives is due to activity related to the reinsurance treaties.</w:t>
      </w:r>
    </w:p>
    <w:p>
      <w:pPr>
        <w:spacing w:after="0" w:line="6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Recognized gains and losses is shown net of amounts attributable to certain funds withheld reinsurance agreements which are passed along to the reinsurer in accordance with the terms of these agreements. Recognized (losses) gains attributable to these agreements, and thus excluded from the totals in the table above, was $(154) million, $(30) million and $(123) million for the years ended December 31, 2025, 2024, and 2023,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proceeds from the sale of fixed-maturity securities and the gross gains and losses associated with those transactions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7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0"/>
        </w:trPr>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5,720</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4,414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2,698</w:t>
            </w:r>
          </w:p>
        </w:tc>
      </w:tr>
      <w:tr>
        <w:trPr>
          <w:trHeight w:val="153"/>
        </w:trPr>
        <w:tc>
          <w:tcPr>
            <w:tcW w:w="7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Gross gains</w:t>
            </w:r>
          </w:p>
        </w:tc>
        <w:tc>
          <w:tcPr>
            <w:tcW w:w="140" w:type="dxa"/>
            <w:vAlign w:val="bottom"/>
          </w:tcPr>
          <w:p>
            <w:pPr>
              <w:spacing w:after="0"/>
              <w:rPr>
                <w:sz w:val="13"/>
                <w:szCs w:val="1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tcPr>
          <w:p>
            <w:pPr>
              <w:spacing w:after="0"/>
              <w:rPr>
                <w:sz w:val="13"/>
                <w:szCs w:val="13"/>
                <w:color w:val="auto"/>
              </w:rPr>
            </w:pP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45</w:t>
            </w:r>
          </w:p>
        </w:tc>
        <w:tc>
          <w:tcPr>
            <w:tcW w:w="1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65"/>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losses</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Variable Interest Entities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Our involvement with VIEs is primarily through investments in entities that provide exposure to a diversified portfolio of investment asset classes. A VIE is an entity that does not have sufficient equity to finance its own activities without additional financial support, where investors lack certain characteristics of a controlling financial interest, or where the entity is structured with non-substantive voting rights. VIEs are consolidated by their ‘primary beneficiary,’ a designation given to an entity that receives both the benefits from the VIE as well as the substantive power to make its key economic decisions. We perform ongoing qualitative assessments of our variable interests in VIEs to determine whether we have a controlling financial interest and are therefore the primary beneficiary of the VIE. We consolidate the assets and liabilities (if applicable) of VIEs for which we are determined to be the primary beneficiary in our consolidated financial statements.</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Consolidated variable interest entities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have concluded that we are the primary beneficiary for certain VIEs where we have both the power to direct the most significant activities of the VIE and the obligation to absorb losses or the right to receive benefits that could potentially be significant to the VIE.</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Consolidated VIEs at December 31, 2025 are structured investments that are managed by third parties. These structured investments are established as special purpose vehicles (“SPVs”) designed to hold specific assets which include limited partnerships, middle market loans, short-term investments, and cash and cash equivalents. The assets of each VIE can be used only to settle obligations of the VIE. Asset and liability information held by consolidated VIEs included on the Consolidated Balance Sheets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4"/>
        </w:trPr>
        <w:tc>
          <w:tcPr>
            <w:tcW w:w="83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98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shd w:val="clear" w:color="auto" w:fill="CCEEFF"/>
          </w:tcPr>
          <w:p>
            <w:pPr>
              <w:spacing w:after="0"/>
              <w:rPr>
                <w:sz w:val="13"/>
                <w:szCs w:val="13"/>
                <w:color w:val="auto"/>
              </w:rPr>
            </w:pP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Investments in unconsolidated affiliates</w:t>
            </w:r>
          </w:p>
        </w:tc>
        <w:tc>
          <w:tcPr>
            <w:tcW w:w="980" w:type="dxa"/>
            <w:vAlign w:val="bottom"/>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3"/>
                <w:szCs w:val="13"/>
                <w:color w:val="auto"/>
              </w:rPr>
            </w:pPr>
          </w:p>
        </w:tc>
        <w:tc>
          <w:tcPr>
            <w:tcW w:w="44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9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9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assets</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834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r>
      <w:tr>
        <w:trPr>
          <w:trHeight w:val="150"/>
        </w:trPr>
        <w:tc>
          <w:tcPr>
            <w:tcW w:w="83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Total consolidated VIE investments</w:t>
            </w: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8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We are not required to provide financial support to these VIEs beyond our contractual obligations. Our maximum exposure to loss related to these consolidated VIEs is limited to our capital invested plus any unfunded capital commitments (refer to unfunded commitments in Note G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The maximum loss exposure of our consolidated VIEs as of December 31, 2025 was $878 million.</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Unconsolidated Variable Interest Entities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owns investments in VIEs that are not consolidated within our financial statements. While the Company participates in the benefits from these VIEs in which the Company invests, but do not consolidate, the substantive power to make the key economic decisions for each respective VIE resides with entities not under the Company's common control. It is for this reason that the Company is not considered the primary beneficiary for the VIE investments that are not consolidated.</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invest in various limited partnerships and limited liability companies primarily as a passive investor. These investments are primarily in credit funds with a bias towards current income, real assets, or private equity. Limited partnership and limited liability company interests are accounted for under the equity method and are included in Investments in unconsolidated affiliates on our Consolidated Balance Sheets. In addition, we invest in structured investments, which may be VIEs, but for which we are not the primary beneficiary. These structured investments typically invest in fixed income investments and are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managed by third parties and include asset-backed securities, commercial mortgage-backed securities and residential mortgage-backed securities included in fixed maturity securities available for sale on our Consolidated Balance Sheets.</w:t>
      </w:r>
    </w:p>
    <w:p>
      <w:pPr>
        <w:spacing w:after="0" w:line="2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Our maximum loss exposure with respect to these VIEs is limited to the investment carrying amounts reported in our Consolidated Balance Sheets for limited partnerships and the amortized costs of certain of our fixed maturity securities, in addition to any required unfunded commitments (refer to Note G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carrying value and the maximum loss exposure of our unconsolidated VIEs: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Pr>
          <w:p>
            <w:pPr>
              <w:spacing w:after="0"/>
              <w:rPr>
                <w:sz w:val="13"/>
                <w:szCs w:val="13"/>
                <w:color w:val="auto"/>
              </w:rPr>
            </w:pPr>
          </w:p>
        </w:tc>
        <w:tc>
          <w:tcPr>
            <w:tcW w:w="2400" w:type="dxa"/>
            <w:vAlign w:val="bottom"/>
            <w:gridSpan w:val="4"/>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08"/>
        </w:trPr>
        <w:tc>
          <w:tcPr>
            <w:tcW w:w="60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rPr>
              <w:t>Maximum Loss</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14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right"/>
              <w:ind w:right="183"/>
              <w:spacing w:after="0" w:line="108" w:lineRule="exact"/>
              <w:rPr>
                <w:sz w:val="20"/>
                <w:szCs w:val="20"/>
                <w:color w:val="auto"/>
              </w:rPr>
            </w:pPr>
            <w:r>
              <w:rPr>
                <w:rFonts w:ascii="Times New Roman" w:cs="Times New Roman" w:eastAsia="Times New Roman" w:hAnsi="Times New Roman"/>
                <w:sz w:val="11"/>
                <w:szCs w:val="11"/>
                <w:b w:val="1"/>
                <w:bCs w:val="1"/>
                <w:color w:val="auto"/>
              </w:rPr>
              <w:t>Maximum Loss</w:t>
            </w:r>
          </w:p>
        </w:tc>
        <w:tc>
          <w:tcPr>
            <w:tcW w:w="0" w:type="dxa"/>
            <w:vAlign w:val="bottom"/>
          </w:tcPr>
          <w:p>
            <w:pPr>
              <w:spacing w:after="0"/>
              <w:rPr>
                <w:sz w:val="1"/>
                <w:szCs w:val="1"/>
                <w:color w:val="auto"/>
              </w:rPr>
            </w:pPr>
          </w:p>
        </w:tc>
      </w:tr>
      <w:tr>
        <w:trPr>
          <w:trHeight w:val="153"/>
        </w:trPr>
        <w:tc>
          <w:tcPr>
            <w:tcW w:w="6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Exposure</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Exposure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5"/>
          </w:tcPr>
          <w:p>
            <w:pPr>
              <w:ind w:left="8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6,389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4,703</w:t>
            </w:r>
          </w:p>
        </w:tc>
        <w:tc>
          <w:tcPr>
            <w:tcW w:w="0" w:type="dxa"/>
            <w:vAlign w:val="bottom"/>
          </w:tcPr>
          <w:p>
            <w:pPr>
              <w:spacing w:after="0"/>
              <w:rPr>
                <w:sz w:val="1"/>
                <w:szCs w:val="1"/>
                <w:color w:val="auto"/>
              </w:rPr>
            </w:pPr>
          </w:p>
        </w:tc>
      </w:tr>
      <w:tr>
        <w:trPr>
          <w:trHeight w:val="15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Fixed maturity securities</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26,419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28,803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23,242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24,242</w:t>
            </w:r>
          </w:p>
        </w:tc>
        <w:tc>
          <w:tcPr>
            <w:tcW w:w="0" w:type="dxa"/>
            <w:vAlign w:val="bottom"/>
          </w:tcPr>
          <w:p>
            <w:pPr>
              <w:spacing w:after="0"/>
              <w:rPr>
                <w:sz w:val="1"/>
                <w:szCs w:val="1"/>
                <w:color w:val="auto"/>
              </w:rPr>
            </w:pPr>
          </w:p>
        </w:tc>
      </w:tr>
      <w:tr>
        <w:trPr>
          <w:trHeight w:val="18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unconsolidated VIE investments</w:t>
            </w: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31,564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35,192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26,807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28,945</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E — Derivative Financial Instruments</w:t>
      </w:r>
    </w:p>
    <w:p>
      <w:pPr>
        <w:spacing w:after="0" w:line="125"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Refer to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for a description of the Company's accounting policies for derivative financial instruments and Note C </w:t>
      </w:r>
      <w:r>
        <w:rPr>
          <w:rFonts w:ascii="Times New Roman" w:cs="Times New Roman" w:eastAsia="Times New Roman" w:hAnsi="Times New Roman"/>
          <w:sz w:val="14"/>
          <w:szCs w:val="14"/>
          <w:i w:val="1"/>
          <w:iCs w:val="1"/>
          <w:color w:val="auto"/>
        </w:rPr>
        <w:t>Fair Value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Instruments </w:t>
      </w:r>
      <w:r>
        <w:rPr>
          <w:rFonts w:ascii="Times New Roman" w:cs="Times New Roman" w:eastAsia="Times New Roman" w:hAnsi="Times New Roman"/>
          <w:sz w:val="14"/>
          <w:szCs w:val="14"/>
          <w:color w:val="auto"/>
        </w:rPr>
        <w:t>for descriptions of the fair value methodologies used for derivative financial instruments.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notional and carrying amounts of derivative financial instruments, including derivative instruments embedded in indexed annuities and IUL contracts, and reinsurance are as follows:</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4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9"/>
        </w:trPr>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Gross Notional</w:t>
            </w:r>
          </w:p>
        </w:tc>
        <w:tc>
          <w:tcPr>
            <w:tcW w:w="240" w:type="dxa"/>
            <w:vAlign w:val="bottom"/>
          </w:tcPr>
          <w:p>
            <w:pPr>
              <w:spacing w:after="0"/>
              <w:rPr>
                <w:sz w:val="12"/>
                <w:szCs w:val="12"/>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Pr>
          <w:p>
            <w:pPr>
              <w:spacing w:after="0"/>
              <w:rPr>
                <w:sz w:val="12"/>
                <w:szCs w:val="12"/>
                <w:color w:val="auto"/>
              </w:rPr>
            </w:pP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Gross Notional</w:t>
            </w:r>
          </w:p>
        </w:tc>
        <w:tc>
          <w:tcPr>
            <w:tcW w:w="240" w:type="dxa"/>
            <w:vAlign w:val="bottom"/>
          </w:tcPr>
          <w:p>
            <w:pPr>
              <w:spacing w:after="0"/>
              <w:rPr>
                <w:sz w:val="12"/>
                <w:szCs w:val="12"/>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00" w:type="dxa"/>
            <w:vAlign w:val="bottom"/>
          </w:tcPr>
          <w:p>
            <w:pPr>
              <w:spacing w:after="0"/>
              <w:rPr>
                <w:sz w:val="12"/>
                <w:szCs w:val="12"/>
                <w:color w:val="auto"/>
              </w:rPr>
            </w:pPr>
          </w:p>
        </w:tc>
        <w:tc>
          <w:tcPr>
            <w:tcW w:w="82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Liabilities</w:t>
            </w:r>
          </w:p>
        </w:tc>
      </w:tr>
      <w:tr>
        <w:trPr>
          <w:trHeight w:val="150"/>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9"/>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850</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11</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 currency swaps (a)</w:t>
            </w: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 designated as hedging instruments</w:t>
            </w: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871</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not designated as hedging instruments</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53"/>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options (a)</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29,651</w:t>
            </w: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1,062</w:t>
            </w:r>
          </w:p>
        </w:tc>
        <w:tc>
          <w:tcPr>
            <w:tcW w:w="2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29,594</w:t>
            </w: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773</w:t>
            </w:r>
          </w:p>
        </w:tc>
        <w:tc>
          <w:tcPr>
            <w:tcW w:w="2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swaps (a)</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6,453</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5,145</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swaps (a)</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503</w:t>
            </w:r>
          </w:p>
        </w:tc>
        <w:tc>
          <w:tcPr>
            <w:tcW w:w="24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Futures contracts (a)</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derivative investments (a)</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w:t>
            </w:r>
          </w:p>
        </w:tc>
        <w:tc>
          <w:tcPr>
            <w:tcW w:w="240" w:type="dxa"/>
            <w:vAlign w:val="bottom"/>
          </w:tcPr>
          <w:p>
            <w:pPr>
              <w:spacing w:after="0"/>
              <w:rPr>
                <w:sz w:val="13"/>
                <w:szCs w:val="13"/>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w:t>
            </w: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embedded derivatives (b)</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w:t>
            </w:r>
          </w:p>
        </w:tc>
        <w:tc>
          <w:tcPr>
            <w:tcW w:w="2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Indexed annuities/IUL embedded derivatives (c)</w:t>
            </w:r>
          </w:p>
        </w:tc>
        <w:tc>
          <w:tcPr>
            <w:tcW w:w="10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5,220</w:t>
            </w:r>
          </w:p>
        </w:tc>
      </w:tr>
      <w:tr>
        <w:trPr>
          <w:trHeight w:val="16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related embedded derivatives (d)</w:t>
            </w: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44"/>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 not designated as hedging instruments</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36,768</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1,585</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6,627</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35,009</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923</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5,121</w:t>
            </w:r>
          </w:p>
        </w:tc>
      </w:tr>
      <w:tr>
        <w:trPr>
          <w:trHeight w:val="18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37,639</w:t>
            </w: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1,596</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6,631</w:t>
            </w: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35,048</w:t>
            </w: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925</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5,121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 of derivative assets is reported in Derivative investments, and the fair value of derivative liabilities is reported in Accounts payable and accrued liabilities on the Consolidated Balance Sheets.</w:t>
      </w:r>
    </w:p>
    <w:p>
      <w:pPr>
        <w:spacing w:after="0" w:line="2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 is included in Other long term investments on the Consolidated Balance Sheets.</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 of the liability is included in Contractholder funds and the ceded portion is included in Reinsurance recoverable on the Consolidated Balance Sheets.</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 of the embedded derivative asset is included in Funds withheld for reinsurance liabilities as a contra-liability on the Consolidated Balance Sheet as of December 31, 2024.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amounts and locations of gains losses, net recognized for derivatives items included in the Consolidated Statements of Earnings are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2"/>
          </w:tcPr>
          <w:p>
            <w:pPr>
              <w:jc w:val="right"/>
              <w:ind w:right="8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103"/>
              <w:spacing w:after="0" w:line="104" w:lineRule="exact"/>
              <w:rPr>
                <w:sz w:val="20"/>
                <w:szCs w:val="20"/>
                <w:color w:val="auto"/>
              </w:rPr>
            </w:pPr>
            <w:r>
              <w:rPr>
                <w:rFonts w:ascii="Times New Roman" w:cs="Times New Roman" w:eastAsia="Times New Roman" w:hAnsi="Times New Roman"/>
                <w:sz w:val="11"/>
                <w:szCs w:val="11"/>
                <w:b w:val="1"/>
                <w:bCs w:val="1"/>
                <w:color w:val="auto"/>
              </w:rPr>
              <w:t>Recognized gains</w:t>
            </w:r>
          </w:p>
        </w:tc>
        <w:tc>
          <w:tcPr>
            <w:tcW w:w="160" w:type="dxa"/>
            <w:vAlign w:val="bottom"/>
          </w:tcPr>
          <w:p>
            <w:pPr>
              <w:spacing w:after="0"/>
              <w:rPr>
                <w:sz w:val="9"/>
                <w:szCs w:val="9"/>
                <w:color w:val="auto"/>
              </w:rPr>
            </w:pPr>
          </w:p>
        </w:tc>
        <w:tc>
          <w:tcPr>
            <w:tcW w:w="1100" w:type="dxa"/>
            <w:vAlign w:val="bottom"/>
          </w:tcPr>
          <w:p>
            <w:pPr>
              <w:jc w:val="center"/>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Benefits and other</w:t>
            </w: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Recognized gains losses,</w:t>
            </w:r>
          </w:p>
        </w:tc>
        <w:tc>
          <w:tcPr>
            <w:tcW w:w="126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1"/>
                <w:szCs w:val="11"/>
                <w:b w:val="1"/>
                <w:bCs w:val="1"/>
                <w:color w:val="auto"/>
              </w:rPr>
              <w:t>Benefits and other</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Recognized gains losses,</w:t>
            </w:r>
          </w:p>
        </w:tc>
        <w:tc>
          <w:tcPr>
            <w:tcW w:w="140" w:type="dxa"/>
            <w:vAlign w:val="bottom"/>
          </w:tcPr>
          <w:p>
            <w:pPr>
              <w:spacing w:after="0"/>
              <w:rPr>
                <w:sz w:val="9"/>
                <w:szCs w:val="9"/>
                <w:color w:val="auto"/>
              </w:rPr>
            </w:pPr>
          </w:p>
        </w:tc>
        <w:tc>
          <w:tcPr>
            <w:tcW w:w="1080" w:type="dxa"/>
            <w:vAlign w:val="bottom"/>
          </w:tcPr>
          <w:p>
            <w:pPr>
              <w:jc w:val="center"/>
              <w:ind w:right="43"/>
              <w:spacing w:after="0" w:line="104" w:lineRule="exact"/>
              <w:rPr>
                <w:sz w:val="20"/>
                <w:szCs w:val="20"/>
                <w:color w:val="auto"/>
              </w:rPr>
            </w:pPr>
            <w:r>
              <w:rPr>
                <w:rFonts w:ascii="Times New Roman" w:cs="Times New Roman" w:eastAsia="Times New Roman" w:hAnsi="Times New Roman"/>
                <w:sz w:val="11"/>
                <w:szCs w:val="11"/>
                <w:b w:val="1"/>
                <w:bCs w:val="1"/>
                <w:color w:val="auto"/>
              </w:rPr>
              <w:t>Benefits and other</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103"/>
              <w:spacing w:after="0" w:line="115" w:lineRule="exact"/>
              <w:rPr>
                <w:sz w:val="20"/>
                <w:szCs w:val="20"/>
                <w:color w:val="auto"/>
              </w:rPr>
            </w:pPr>
            <w:r>
              <w:rPr>
                <w:rFonts w:ascii="Times New Roman" w:cs="Times New Roman" w:eastAsia="Times New Roman" w:hAnsi="Times New Roman"/>
                <w:sz w:val="11"/>
                <w:szCs w:val="11"/>
                <w:b w:val="1"/>
                <w:bCs w:val="1"/>
                <w:color w:val="auto"/>
              </w:rPr>
              <w:t>losses, net for</w:t>
            </w:r>
          </w:p>
        </w:tc>
        <w:tc>
          <w:tcPr>
            <w:tcW w:w="160" w:type="dxa"/>
            <w:vAlign w:val="bottom"/>
          </w:tcPr>
          <w:p>
            <w:pPr>
              <w:spacing w:after="0"/>
              <w:rPr>
                <w:sz w:val="9"/>
                <w:szCs w:val="9"/>
                <w:color w:val="auto"/>
              </w:rPr>
            </w:pPr>
          </w:p>
        </w:tc>
        <w:tc>
          <w:tcPr>
            <w:tcW w:w="1100" w:type="dxa"/>
            <w:vAlign w:val="bottom"/>
          </w:tcPr>
          <w:p>
            <w:pPr>
              <w:jc w:val="center"/>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changes in policy</w:t>
            </w:r>
          </w:p>
        </w:tc>
        <w:tc>
          <w:tcPr>
            <w:tcW w:w="1280" w:type="dxa"/>
            <w:vAlign w:val="bottom"/>
            <w:gridSpan w:val="2"/>
            <w:vMerge w:val="continue"/>
          </w:tcPr>
          <w:p>
            <w:pPr>
              <w:spacing w:after="0"/>
              <w:rPr>
                <w:sz w:val="9"/>
                <w:szCs w:val="9"/>
                <w:color w:val="auto"/>
              </w:rPr>
            </w:pPr>
          </w:p>
        </w:tc>
        <w:tc>
          <w:tcPr>
            <w:tcW w:w="1060" w:type="dxa"/>
            <w:vAlign w:val="bottom"/>
          </w:tcPr>
          <w:p>
            <w:pPr>
              <w:jc w:val="center"/>
              <w:ind w:left="183"/>
              <w:spacing w:after="0" w:line="115" w:lineRule="exact"/>
              <w:rPr>
                <w:sz w:val="20"/>
                <w:szCs w:val="20"/>
                <w:color w:val="auto"/>
              </w:rPr>
            </w:pPr>
            <w:r>
              <w:rPr>
                <w:rFonts w:ascii="Times New Roman" w:cs="Times New Roman" w:eastAsia="Times New Roman" w:hAnsi="Times New Roman"/>
                <w:sz w:val="11"/>
                <w:szCs w:val="11"/>
                <w:b w:val="1"/>
                <w:bCs w:val="1"/>
                <w:color w:val="auto"/>
              </w:rPr>
              <w:t>changes in policy</w:t>
            </w: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43"/>
              <w:spacing w:after="0" w:line="115" w:lineRule="exact"/>
              <w:rPr>
                <w:sz w:val="20"/>
                <w:szCs w:val="20"/>
                <w:color w:val="auto"/>
              </w:rPr>
            </w:pPr>
            <w:r>
              <w:rPr>
                <w:rFonts w:ascii="Times New Roman" w:cs="Times New Roman" w:eastAsia="Times New Roman" w:hAnsi="Times New Roman"/>
                <w:sz w:val="11"/>
                <w:szCs w:val="11"/>
                <w:b w:val="1"/>
                <w:bCs w:val="1"/>
                <w:color w:val="auto"/>
              </w:rPr>
              <w:t>changes in policy</w:t>
            </w: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derivatives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reserves for derivatives</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net for derivatives</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reserves for derivatives</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net for derivatives</w:t>
            </w: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reserves for derivatives</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2"/>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 currency swaps</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 designated as hedging instruments</w:t>
            </w:r>
          </w:p>
        </w:tc>
        <w:tc>
          <w:tcPr>
            <w:tcW w:w="1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not designated as hedging instruments</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 options</w:t>
            </w:r>
          </w:p>
        </w:tc>
        <w:tc>
          <w:tcPr>
            <w:tcW w:w="12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177</w:t>
            </w:r>
          </w:p>
        </w:tc>
        <w:tc>
          <w:tcPr>
            <w:tcW w:w="16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145</w:t>
            </w:r>
          </w:p>
        </w:tc>
        <w:tc>
          <w:tcPr>
            <w:tcW w:w="10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60</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48</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60" w:type="dxa"/>
            <w:vAlign w:val="bottom"/>
          </w:tcPr>
          <w:p>
            <w:pPr>
              <w:spacing w:after="0"/>
              <w:rPr>
                <w:sz w:val="20"/>
                <w:szCs w:val="20"/>
                <w:color w:val="auto"/>
              </w:rPr>
            </w:pPr>
            <w:r>
              <w:rPr>
                <w:rFonts w:ascii="Times New Roman" w:cs="Times New Roman" w:eastAsia="Times New Roman" w:hAnsi="Times New Roman"/>
                <w:sz w:val="11"/>
                <w:szCs w:val="11"/>
                <w:color w:val="auto"/>
              </w:rPr>
              <w:t>Foreign currency swaps</w:t>
            </w:r>
          </w:p>
        </w:tc>
        <w:tc>
          <w:tcPr>
            <w:tcW w:w="1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6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Futures contracts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32</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w:t>
            </w: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derivative investments</w:t>
            </w:r>
          </w:p>
        </w:tc>
        <w:tc>
          <w:tcPr>
            <w:tcW w:w="1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10</w:t>
            </w:r>
          </w:p>
        </w:tc>
        <w:tc>
          <w:tcPr>
            <w:tcW w:w="10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embedded derivatives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w:t>
            </w: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Indexed annuities/IUL embedded derivatives</w:t>
            </w:r>
          </w:p>
        </w:tc>
        <w:tc>
          <w:tcPr>
            <w:tcW w:w="120" w:type="dxa"/>
            <w:vAlign w:val="bottom"/>
          </w:tcPr>
          <w:p>
            <w:pPr>
              <w:spacing w:after="0"/>
              <w:rPr>
                <w:sz w:val="13"/>
                <w:szCs w:val="13"/>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1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402</w:t>
            </w:r>
          </w:p>
        </w:tc>
        <w:tc>
          <w:tcPr>
            <w:tcW w:w="160" w:type="dxa"/>
            <w:vAlign w:val="bottom"/>
          </w:tcPr>
          <w:p>
            <w:pPr>
              <w:spacing w:after="0"/>
              <w:rPr>
                <w:sz w:val="13"/>
                <w:szCs w:val="1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47</w:t>
            </w:r>
          </w:p>
        </w:tc>
        <w:tc>
          <w:tcPr>
            <w:tcW w:w="180" w:type="dxa"/>
            <w:vAlign w:val="bottom"/>
          </w:tcPr>
          <w:p>
            <w:pPr>
              <w:spacing w:after="0"/>
              <w:rPr>
                <w:sz w:val="13"/>
                <w:szCs w:val="13"/>
                <w:color w:val="auto"/>
              </w:rPr>
            </w:pP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0" w:type="dxa"/>
            <w:vAlign w:val="bottom"/>
          </w:tcPr>
          <w:p>
            <w:pPr>
              <w:spacing w:after="0"/>
              <w:rPr>
                <w:sz w:val="1"/>
                <w:szCs w:val="1"/>
                <w:color w:val="auto"/>
              </w:rPr>
            </w:pPr>
          </w:p>
        </w:tc>
      </w:tr>
      <w:tr>
        <w:trPr>
          <w:trHeight w:val="165"/>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related embedded derivatives</w:t>
            </w: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(148)</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(128)</w:t>
            </w: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 not designated as instruments</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115</w:t>
            </w: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402</w:t>
            </w:r>
          </w:p>
        </w:tc>
        <w:tc>
          <w:tcPr>
            <w:tcW w:w="1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42</w:t>
            </w:r>
          </w:p>
        </w:tc>
        <w:tc>
          <w:tcPr>
            <w:tcW w:w="10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47</w:t>
            </w: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0" w:type="dxa"/>
            <w:vAlign w:val="bottom"/>
          </w:tcPr>
          <w:p>
            <w:pPr>
              <w:spacing w:after="0"/>
              <w:rPr>
                <w:sz w:val="1"/>
                <w:szCs w:val="1"/>
                <w:color w:val="auto"/>
              </w:rPr>
            </w:pPr>
          </w:p>
        </w:tc>
      </w:tr>
      <w:tr>
        <w:trPr>
          <w:trHeight w:val="18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w:t>
            </w: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413</w:t>
            </w:r>
          </w:p>
        </w:tc>
        <w:tc>
          <w:tcPr>
            <w:tcW w:w="1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42</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47</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amounts and locations of gains losses, net recognized for hedged items included in the Consolidated Statements of Earnings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Recognized gains</w:t>
            </w:r>
          </w:p>
        </w:tc>
        <w:tc>
          <w:tcPr>
            <w:tcW w:w="160" w:type="dxa"/>
            <w:vAlign w:val="bottom"/>
          </w:tcPr>
          <w:p>
            <w:pPr>
              <w:spacing w:after="0"/>
              <w:rPr>
                <w:sz w:val="9"/>
                <w:szCs w:val="9"/>
                <w:color w:val="auto"/>
              </w:rPr>
            </w:pPr>
          </w:p>
        </w:tc>
        <w:tc>
          <w:tcPr>
            <w:tcW w:w="1120" w:type="dxa"/>
            <w:vAlign w:val="bottom"/>
          </w:tcPr>
          <w:p>
            <w:pPr>
              <w:jc w:val="center"/>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Benefits and other</w:t>
            </w: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63"/>
              <w:spacing w:after="0" w:line="104" w:lineRule="exact"/>
              <w:rPr>
                <w:sz w:val="20"/>
                <w:szCs w:val="20"/>
                <w:color w:val="auto"/>
              </w:rPr>
            </w:pPr>
            <w:r>
              <w:rPr>
                <w:rFonts w:ascii="Times New Roman" w:cs="Times New Roman" w:eastAsia="Times New Roman" w:hAnsi="Times New Roman"/>
                <w:sz w:val="11"/>
                <w:szCs w:val="11"/>
                <w:b w:val="1"/>
                <w:bCs w:val="1"/>
                <w:color w:val="auto"/>
              </w:rPr>
              <w:t>Benefits and other</w:t>
            </w: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43"/>
              <w:spacing w:after="0" w:line="104" w:lineRule="exact"/>
              <w:rPr>
                <w:sz w:val="20"/>
                <w:szCs w:val="20"/>
                <w:color w:val="auto"/>
              </w:rPr>
            </w:pPr>
            <w:r>
              <w:rPr>
                <w:rFonts w:ascii="Times New Roman" w:cs="Times New Roman" w:eastAsia="Times New Roman" w:hAnsi="Times New Roman"/>
                <w:sz w:val="11"/>
                <w:szCs w:val="11"/>
                <w:b w:val="1"/>
                <w:bCs w:val="1"/>
                <w:color w:val="auto"/>
              </w:rPr>
              <w:t>Benefits and other</w:t>
            </w:r>
          </w:p>
        </w:tc>
        <w:tc>
          <w:tcPr>
            <w:tcW w:w="0" w:type="dxa"/>
            <w:vAlign w:val="bottom"/>
          </w:tcPr>
          <w:p>
            <w:pPr>
              <w:spacing w:after="0"/>
              <w:rPr>
                <w:sz w:val="1"/>
                <w:szCs w:val="1"/>
                <w:color w:val="auto"/>
              </w:rPr>
            </w:pPr>
          </w:p>
        </w:tc>
      </w:tr>
      <w:tr>
        <w:trPr>
          <w:trHeight w:val="117"/>
        </w:trPr>
        <w:tc>
          <w:tcPr>
            <w:tcW w:w="3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Pr>
          <w:p>
            <w:pPr>
              <w:jc w:val="center"/>
              <w:ind w:right="83"/>
              <w:spacing w:after="0" w:line="117" w:lineRule="exact"/>
              <w:rPr>
                <w:sz w:val="20"/>
                <w:szCs w:val="20"/>
                <w:color w:val="auto"/>
              </w:rPr>
            </w:pPr>
            <w:r>
              <w:rPr>
                <w:rFonts w:ascii="Times New Roman" w:cs="Times New Roman" w:eastAsia="Times New Roman" w:hAnsi="Times New Roman"/>
                <w:sz w:val="11"/>
                <w:szCs w:val="11"/>
                <w:b w:val="1"/>
                <w:bCs w:val="1"/>
                <w:color w:val="auto"/>
              </w:rPr>
              <w:t>changes in policy</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Recognized gains losses,</w:t>
            </w:r>
          </w:p>
        </w:tc>
        <w:tc>
          <w:tcPr>
            <w:tcW w:w="140" w:type="dxa"/>
            <w:vAlign w:val="bottom"/>
          </w:tcPr>
          <w:p>
            <w:pPr>
              <w:spacing w:after="0"/>
              <w:rPr>
                <w:sz w:val="10"/>
                <w:szCs w:val="10"/>
                <w:color w:val="auto"/>
              </w:rPr>
            </w:pPr>
          </w:p>
        </w:tc>
        <w:tc>
          <w:tcPr>
            <w:tcW w:w="1100" w:type="dxa"/>
            <w:vAlign w:val="bottom"/>
          </w:tcPr>
          <w:p>
            <w:pPr>
              <w:jc w:val="center"/>
              <w:ind w:right="63"/>
              <w:spacing w:after="0" w:line="117" w:lineRule="exact"/>
              <w:rPr>
                <w:sz w:val="20"/>
                <w:szCs w:val="20"/>
                <w:color w:val="auto"/>
              </w:rPr>
            </w:pPr>
            <w:r>
              <w:rPr>
                <w:rFonts w:ascii="Times New Roman" w:cs="Times New Roman" w:eastAsia="Times New Roman" w:hAnsi="Times New Roman"/>
                <w:sz w:val="11"/>
                <w:szCs w:val="11"/>
                <w:b w:val="1"/>
                <w:bCs w:val="1"/>
                <w:color w:val="auto"/>
              </w:rPr>
              <w:t>changes in policy</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Recognized gains losses,</w:t>
            </w:r>
          </w:p>
        </w:tc>
        <w:tc>
          <w:tcPr>
            <w:tcW w:w="140" w:type="dxa"/>
            <w:vAlign w:val="bottom"/>
          </w:tcPr>
          <w:p>
            <w:pPr>
              <w:spacing w:after="0"/>
              <w:rPr>
                <w:sz w:val="10"/>
                <w:szCs w:val="10"/>
                <w:color w:val="auto"/>
              </w:rPr>
            </w:pPr>
          </w:p>
        </w:tc>
        <w:tc>
          <w:tcPr>
            <w:tcW w:w="108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1"/>
                <w:szCs w:val="11"/>
                <w:b w:val="1"/>
                <w:bCs w:val="1"/>
                <w:color w:val="auto"/>
              </w:rPr>
              <w:t>changes in policy</w:t>
            </w:r>
          </w:p>
        </w:tc>
        <w:tc>
          <w:tcPr>
            <w:tcW w:w="0" w:type="dxa"/>
            <w:vAlign w:val="bottom"/>
          </w:tcPr>
          <w:p>
            <w:pPr>
              <w:spacing w:after="0"/>
              <w:rPr>
                <w:sz w:val="1"/>
                <w:szCs w:val="1"/>
                <w:color w:val="auto"/>
              </w:rPr>
            </w:pPr>
          </w:p>
        </w:tc>
      </w:tr>
      <w:tr>
        <w:trPr>
          <w:trHeight w:val="115"/>
        </w:trPr>
        <w:tc>
          <w:tcPr>
            <w:tcW w:w="3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43"/>
              <w:spacing w:after="0" w:line="115" w:lineRule="exact"/>
              <w:rPr>
                <w:sz w:val="20"/>
                <w:szCs w:val="20"/>
                <w:color w:val="auto"/>
              </w:rPr>
            </w:pPr>
            <w:r>
              <w:rPr>
                <w:rFonts w:ascii="Times New Roman" w:cs="Times New Roman" w:eastAsia="Times New Roman" w:hAnsi="Times New Roman"/>
                <w:sz w:val="11"/>
                <w:szCs w:val="11"/>
                <w:b w:val="1"/>
                <w:bCs w:val="1"/>
                <w:color w:val="auto"/>
              </w:rPr>
              <w:t>losses, net for hedged</w:t>
            </w:r>
          </w:p>
        </w:tc>
        <w:tc>
          <w:tcPr>
            <w:tcW w:w="160" w:type="dxa"/>
            <w:vAlign w:val="bottom"/>
          </w:tcPr>
          <w:p>
            <w:pPr>
              <w:spacing w:after="0"/>
              <w:rPr>
                <w:sz w:val="9"/>
                <w:szCs w:val="9"/>
                <w:color w:val="auto"/>
              </w:rPr>
            </w:pPr>
          </w:p>
        </w:tc>
        <w:tc>
          <w:tcPr>
            <w:tcW w:w="1120" w:type="dxa"/>
            <w:vAlign w:val="bottom"/>
          </w:tcPr>
          <w:p>
            <w:pPr>
              <w:jc w:val="center"/>
              <w:ind w:right="83"/>
              <w:spacing w:after="0" w:line="115" w:lineRule="exact"/>
              <w:rPr>
                <w:sz w:val="20"/>
                <w:szCs w:val="20"/>
                <w:color w:val="auto"/>
              </w:rPr>
            </w:pPr>
            <w:r>
              <w:rPr>
                <w:rFonts w:ascii="Times New Roman" w:cs="Times New Roman" w:eastAsia="Times New Roman" w:hAnsi="Times New Roman"/>
                <w:sz w:val="11"/>
                <w:szCs w:val="11"/>
                <w:b w:val="1"/>
                <w:bCs w:val="1"/>
                <w:color w:val="auto"/>
              </w:rPr>
              <w:t>reserves for hedged</w:t>
            </w: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jc w:val="center"/>
              <w:ind w:right="63"/>
              <w:spacing w:after="0" w:line="115" w:lineRule="exact"/>
              <w:rPr>
                <w:sz w:val="20"/>
                <w:szCs w:val="20"/>
                <w:color w:val="auto"/>
              </w:rPr>
            </w:pPr>
            <w:r>
              <w:rPr>
                <w:rFonts w:ascii="Times New Roman" w:cs="Times New Roman" w:eastAsia="Times New Roman" w:hAnsi="Times New Roman"/>
                <w:sz w:val="11"/>
                <w:szCs w:val="11"/>
                <w:b w:val="1"/>
                <w:bCs w:val="1"/>
                <w:color w:val="auto"/>
              </w:rPr>
              <w:t>reserves for hedged</w:t>
            </w:r>
          </w:p>
        </w:tc>
        <w:tc>
          <w:tcPr>
            <w:tcW w:w="13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jc w:val="center"/>
              <w:ind w:right="43"/>
              <w:spacing w:after="0" w:line="115" w:lineRule="exact"/>
              <w:rPr>
                <w:sz w:val="20"/>
                <w:szCs w:val="20"/>
                <w:color w:val="auto"/>
              </w:rPr>
            </w:pPr>
            <w:r>
              <w:rPr>
                <w:rFonts w:ascii="Times New Roman" w:cs="Times New Roman" w:eastAsia="Times New Roman" w:hAnsi="Times New Roman"/>
                <w:sz w:val="11"/>
                <w:szCs w:val="11"/>
                <w:b w:val="1"/>
                <w:bCs w:val="1"/>
                <w:color w:val="auto"/>
              </w:rPr>
              <w:t>reserves for hedged</w:t>
            </w: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item</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item</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net for hedged item</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rPr>
              <w:t>item</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net for hedged item</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item</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80" w:type="dxa"/>
            <w:vAlign w:val="bottom"/>
            <w:gridSpan w:val="3"/>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designated as hedging instruments</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center"/>
              <w:ind w:left="763"/>
              <w:spacing w:after="0"/>
              <w:rPr>
                <w:sz w:val="20"/>
                <w:szCs w:val="20"/>
                <w:color w:val="auto"/>
              </w:rPr>
            </w:pPr>
            <w:r>
              <w:rPr>
                <w:rFonts w:ascii="Times New Roman" w:cs="Times New Roman" w:eastAsia="Times New Roman" w:hAnsi="Times New Roman"/>
                <w:sz w:val="11"/>
                <w:szCs w:val="11"/>
                <w:color w:val="auto"/>
                <w:w w:val="97"/>
              </w:rPr>
              <w:t>(11)</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Foreign currency swaps</w:t>
            </w: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left="78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derivatives designated as hedging instruments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jc w:val="center"/>
              <w:ind w:left="763"/>
              <w:spacing w:after="0"/>
              <w:rPr>
                <w:sz w:val="20"/>
                <w:szCs w:val="20"/>
                <w:color w:val="auto"/>
              </w:rPr>
            </w:pPr>
            <w:r>
              <w:rPr>
                <w:rFonts w:ascii="Times New Roman" w:cs="Times New Roman" w:eastAsia="Times New Roman" w:hAnsi="Times New Roman"/>
                <w:sz w:val="11"/>
                <w:szCs w:val="11"/>
                <w:color w:val="auto"/>
                <w:w w:val="97"/>
              </w:rPr>
              <w:t>(11)</w:t>
            </w:r>
          </w:p>
        </w:tc>
        <w:tc>
          <w:tcPr>
            <w:tcW w:w="1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amounts are recorded in the Consolidated Balance Sheets related to the carrying amount of hedged assets and (liabilities) and the cumulative basis adjustment included in the carrying amount for fair value hedges: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2"/>
          </w:tcPr>
          <w:p>
            <w:pPr>
              <w:jc w:val="right"/>
              <w:ind w:right="1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7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jc w:val="center"/>
              <w:ind w:right="183"/>
              <w:spacing w:after="0" w:line="104" w:lineRule="exact"/>
              <w:rPr>
                <w:sz w:val="20"/>
                <w:szCs w:val="20"/>
                <w:color w:val="auto"/>
              </w:rPr>
            </w:pPr>
            <w:r>
              <w:rPr>
                <w:rFonts w:ascii="Times New Roman" w:cs="Times New Roman" w:eastAsia="Times New Roman" w:hAnsi="Times New Roman"/>
                <w:sz w:val="11"/>
                <w:szCs w:val="11"/>
                <w:b w:val="1"/>
                <w:bCs w:val="1"/>
                <w:color w:val="auto"/>
              </w:rPr>
              <w:t>Cumulative Amount of Fair</w:t>
            </w:r>
          </w:p>
        </w:tc>
        <w:tc>
          <w:tcPr>
            <w:tcW w:w="1700" w:type="dxa"/>
            <w:vAlign w:val="bottom"/>
          </w:tcPr>
          <w:p>
            <w:pPr>
              <w:spacing w:after="0"/>
              <w:rPr>
                <w:sz w:val="9"/>
                <w:szCs w:val="9"/>
                <w:color w:val="auto"/>
              </w:rPr>
            </w:pPr>
          </w:p>
        </w:tc>
        <w:tc>
          <w:tcPr>
            <w:tcW w:w="1520" w:type="dxa"/>
            <w:vAlign w:val="bottom"/>
          </w:tcPr>
          <w:p>
            <w:pPr>
              <w:jc w:val="center"/>
              <w:ind w:right="23"/>
              <w:spacing w:after="0" w:line="104" w:lineRule="exact"/>
              <w:rPr>
                <w:sz w:val="20"/>
                <w:szCs w:val="20"/>
                <w:color w:val="auto"/>
              </w:rPr>
            </w:pPr>
            <w:r>
              <w:rPr>
                <w:rFonts w:ascii="Times New Roman" w:cs="Times New Roman" w:eastAsia="Times New Roman" w:hAnsi="Times New Roman"/>
                <w:sz w:val="11"/>
                <w:szCs w:val="11"/>
                <w:b w:val="1"/>
                <w:bCs w:val="1"/>
                <w:color w:val="auto"/>
              </w:rPr>
              <w:t>Cumulative Amount of Fair</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jc w:val="center"/>
              <w:ind w:right="183"/>
              <w:spacing w:after="0" w:line="115" w:lineRule="exact"/>
              <w:rPr>
                <w:sz w:val="20"/>
                <w:szCs w:val="20"/>
                <w:color w:val="auto"/>
              </w:rPr>
            </w:pPr>
            <w:r>
              <w:rPr>
                <w:rFonts w:ascii="Times New Roman" w:cs="Times New Roman" w:eastAsia="Times New Roman" w:hAnsi="Times New Roman"/>
                <w:sz w:val="11"/>
                <w:szCs w:val="11"/>
                <w:b w:val="1"/>
                <w:bCs w:val="1"/>
                <w:color w:val="auto"/>
              </w:rPr>
              <w:t>Value Hedging Adjustment</w:t>
            </w:r>
          </w:p>
        </w:tc>
        <w:tc>
          <w:tcPr>
            <w:tcW w:w="1700" w:type="dxa"/>
            <w:vAlign w:val="bottom"/>
          </w:tcPr>
          <w:p>
            <w:pPr>
              <w:spacing w:after="0"/>
              <w:rPr>
                <w:sz w:val="9"/>
                <w:szCs w:val="9"/>
                <w:color w:val="auto"/>
              </w:rPr>
            </w:pPr>
          </w:p>
        </w:tc>
        <w:tc>
          <w:tcPr>
            <w:tcW w:w="1520" w:type="dxa"/>
            <w:vAlign w:val="bottom"/>
          </w:tcPr>
          <w:p>
            <w:pPr>
              <w:jc w:val="center"/>
              <w:ind w:right="23"/>
              <w:spacing w:after="0" w:line="115" w:lineRule="exact"/>
              <w:rPr>
                <w:sz w:val="20"/>
                <w:szCs w:val="20"/>
                <w:color w:val="auto"/>
              </w:rPr>
            </w:pPr>
            <w:r>
              <w:rPr>
                <w:rFonts w:ascii="Times New Roman" w:cs="Times New Roman" w:eastAsia="Times New Roman" w:hAnsi="Times New Roman"/>
                <w:sz w:val="11"/>
                <w:szCs w:val="11"/>
                <w:b w:val="1"/>
                <w:bCs w:val="1"/>
                <w:color w:val="auto"/>
              </w:rPr>
              <w:t>Value Hedging Adjustment</w:t>
            </w:r>
          </w:p>
        </w:tc>
        <w:tc>
          <w:tcPr>
            <w:tcW w:w="0" w:type="dxa"/>
            <w:vAlign w:val="bottom"/>
          </w:tcPr>
          <w:p>
            <w:pPr>
              <w:spacing w:after="0"/>
              <w:rPr>
                <w:sz w:val="1"/>
                <w:szCs w:val="1"/>
                <w:color w:val="auto"/>
              </w:rPr>
            </w:pPr>
          </w:p>
        </w:tc>
      </w:tr>
      <w:tr>
        <w:trPr>
          <w:trHeight w:val="108"/>
        </w:trPr>
        <w:tc>
          <w:tcPr>
            <w:tcW w:w="3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Carrying Amount of Hedged</w:t>
            </w:r>
          </w:p>
        </w:tc>
        <w:tc>
          <w:tcPr>
            <w:tcW w:w="120" w:type="dxa"/>
            <w:vAlign w:val="bottom"/>
          </w:tcPr>
          <w:p>
            <w:pPr>
              <w:spacing w:after="0"/>
              <w:rPr>
                <w:sz w:val="9"/>
                <w:szCs w:val="9"/>
                <w:color w:val="auto"/>
              </w:rPr>
            </w:pPr>
          </w:p>
        </w:tc>
        <w:tc>
          <w:tcPr>
            <w:tcW w:w="1700" w:type="dxa"/>
            <w:vAlign w:val="bottom"/>
          </w:tcPr>
          <w:p>
            <w:pPr>
              <w:jc w:val="center"/>
              <w:ind w:right="183"/>
              <w:spacing w:after="0" w:line="108" w:lineRule="exact"/>
              <w:rPr>
                <w:sz w:val="20"/>
                <w:szCs w:val="20"/>
                <w:color w:val="auto"/>
              </w:rPr>
            </w:pPr>
            <w:r>
              <w:rPr>
                <w:rFonts w:ascii="Times New Roman" w:cs="Times New Roman" w:eastAsia="Times New Roman" w:hAnsi="Times New Roman"/>
                <w:sz w:val="11"/>
                <w:szCs w:val="11"/>
                <w:b w:val="1"/>
                <w:bCs w:val="1"/>
                <w:color w:val="auto"/>
              </w:rPr>
              <w:t>included in the Carrying</w:t>
            </w:r>
          </w:p>
        </w:tc>
        <w:tc>
          <w:tcPr>
            <w:tcW w:w="1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Carrying Amount of Hedged</w:t>
            </w:r>
          </w:p>
        </w:tc>
        <w:tc>
          <w:tcPr>
            <w:tcW w:w="152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1"/>
                <w:szCs w:val="11"/>
                <w:b w:val="1"/>
                <w:bCs w:val="1"/>
                <w:color w:val="auto"/>
              </w:rPr>
              <w:t>included in the Carrying</w:t>
            </w:r>
          </w:p>
        </w:tc>
        <w:tc>
          <w:tcPr>
            <w:tcW w:w="0" w:type="dxa"/>
            <w:vAlign w:val="bottom"/>
          </w:tcPr>
          <w:p>
            <w:pPr>
              <w:spacing w:after="0"/>
              <w:rPr>
                <w:sz w:val="1"/>
                <w:szCs w:val="1"/>
                <w:color w:val="auto"/>
              </w:rPr>
            </w:pPr>
          </w:p>
        </w:tc>
      </w:tr>
      <w:tr>
        <w:trPr>
          <w:trHeight w:val="11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Line Item in the Consolidated Balance Sheet that includes hedged item</w:t>
            </w:r>
          </w:p>
        </w:tc>
        <w:tc>
          <w:tcPr>
            <w:tcW w:w="1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tcPr>
          <w:p>
            <w:pPr>
              <w:jc w:val="center"/>
              <w:ind w:right="183"/>
              <w:spacing w:after="0" w:line="117" w:lineRule="exact"/>
              <w:rPr>
                <w:sz w:val="20"/>
                <w:szCs w:val="20"/>
                <w:color w:val="auto"/>
              </w:rPr>
            </w:pPr>
            <w:r>
              <w:rPr>
                <w:rFonts w:ascii="Times New Roman" w:cs="Times New Roman" w:eastAsia="Times New Roman" w:hAnsi="Times New Roman"/>
                <w:sz w:val="11"/>
                <w:szCs w:val="11"/>
                <w:b w:val="1"/>
                <w:bCs w:val="1"/>
                <w:color w:val="auto"/>
              </w:rPr>
              <w:t>Amount of the Hedged Assets</w:t>
            </w:r>
          </w:p>
        </w:tc>
        <w:tc>
          <w:tcPr>
            <w:tcW w:w="1700" w:type="dxa"/>
            <w:vAlign w:val="bottom"/>
            <w:vMerge w:val="continue"/>
          </w:tcPr>
          <w:p>
            <w:pPr>
              <w:spacing w:after="0"/>
              <w:rPr>
                <w:sz w:val="10"/>
                <w:szCs w:val="10"/>
                <w:color w:val="auto"/>
              </w:rPr>
            </w:pPr>
          </w:p>
        </w:tc>
        <w:tc>
          <w:tcPr>
            <w:tcW w:w="1520" w:type="dxa"/>
            <w:vAlign w:val="bottom"/>
          </w:tcPr>
          <w:p>
            <w:pPr>
              <w:jc w:val="center"/>
              <w:ind w:right="23"/>
              <w:spacing w:after="0" w:line="117" w:lineRule="exact"/>
              <w:rPr>
                <w:sz w:val="20"/>
                <w:szCs w:val="20"/>
                <w:color w:val="auto"/>
              </w:rPr>
            </w:pPr>
            <w:r>
              <w:rPr>
                <w:rFonts w:ascii="Times New Roman" w:cs="Times New Roman" w:eastAsia="Times New Roman" w:hAnsi="Times New Roman"/>
                <w:sz w:val="11"/>
                <w:szCs w:val="11"/>
                <w:b w:val="1"/>
                <w:bCs w:val="1"/>
                <w:color w:val="auto"/>
              </w:rPr>
              <w:t>Amount of the Hedged Assets</w:t>
            </w:r>
          </w:p>
        </w:tc>
        <w:tc>
          <w:tcPr>
            <w:tcW w:w="0" w:type="dxa"/>
            <w:vAlign w:val="bottom"/>
          </w:tcPr>
          <w:p>
            <w:pPr>
              <w:spacing w:after="0"/>
              <w:rPr>
                <w:sz w:val="1"/>
                <w:szCs w:val="1"/>
                <w:color w:val="auto"/>
              </w:rPr>
            </w:pPr>
          </w:p>
        </w:tc>
      </w:tr>
      <w:tr>
        <w:trPr>
          <w:trHeight w:val="153"/>
        </w:trPr>
        <w:tc>
          <w:tcPr>
            <w:tcW w:w="37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Assets (Liabilities)</w:t>
            </w: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7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Assets (Liabilities)</w:t>
            </w:r>
          </w:p>
        </w:tc>
        <w:tc>
          <w:tcPr>
            <w:tcW w:w="15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0" w:type="dxa"/>
            <w:vAlign w:val="bottom"/>
            <w:gridSpan w:val="2"/>
          </w:tcPr>
          <w:p>
            <w:pPr>
              <w:jc w:val="right"/>
              <w:ind w:right="14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AFS, at amortized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15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Contractholder funds</w:t>
            </w:r>
          </w:p>
        </w:tc>
        <w:tc>
          <w:tcPr>
            <w:tcW w:w="100" w:type="dxa"/>
            <w:vAlign w:val="bottom"/>
          </w:tcPr>
          <w:p>
            <w:pPr>
              <w:spacing w:after="0"/>
              <w:rPr>
                <w:sz w:val="12"/>
                <w:szCs w:val="12"/>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(862)</w:t>
            </w:r>
          </w:p>
        </w:tc>
        <w:tc>
          <w:tcPr>
            <w:tcW w:w="120" w:type="dxa"/>
            <w:vAlign w:val="bottom"/>
          </w:tcPr>
          <w:p>
            <w:pPr>
              <w:spacing w:after="0"/>
              <w:rPr>
                <w:sz w:val="12"/>
                <w:szCs w:val="12"/>
                <w:color w:val="auto"/>
              </w:rPr>
            </w:pPr>
          </w:p>
        </w:tc>
        <w:tc>
          <w:tcPr>
            <w:tcW w:w="17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(11)</w:t>
            </w:r>
          </w:p>
        </w:tc>
        <w:tc>
          <w:tcPr>
            <w:tcW w:w="17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ind w:left="1400"/>
              <w:spacing w:after="0"/>
              <w:rPr>
                <w:sz w:val="20"/>
                <w:szCs w:val="20"/>
                <w:color w:val="auto"/>
              </w:rPr>
            </w:pPr>
            <w:r>
              <w:rPr>
                <w:rFonts w:ascii="Times New Roman" w:cs="Times New Roman" w:eastAsia="Times New Roman" w:hAnsi="Times New Roman"/>
                <w:sz w:val="11"/>
                <w:szCs w:val="11"/>
                <w:color w:val="auto"/>
                <w:w w:val="90"/>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years ended December 31, 2025, 2024, and 2023, the derivative instruments’ gains losses, net excluded from the assessment of hedge effectiveness was immaterial.</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cumulative fair value hedging adjustments for hedged assets and liabilities for which hedge accounting was discontinued as of December 31, 2025 and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designated as hedging instruments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utilize interest rate swaps and foreign currency swaps that are designated and accounted for as fair value hedges to reduce interest rate risk for certain funding agreements and to reduce the risk of certain exposures to foreign currency risk for foreign AFS fixed maturity securities. For fair value hedges of funding agreements, changes in fair value are reported in Benefits and other changes in policy reserves. For fair value hedges of AFS fixed maturity securities, changes in fair value included in the assessment of effectiveness are reported in Recognized gains and losses, net in the Consolidated Statement of Earnings. The change in the fair value of components excluded from the assessment of hedge effectiveness is recorded in OCI and is recognized in net income through periodic settlements.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Derivatives not designated as hedging instruments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Indexed Annuities/IUL Embedded Derivative, Equity Options and Futures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We have indexed annuities and IUL contracts that permit the holder to elect an interest rate return or an equity index linked component, where interest credited to the contracts is linked to the performance of various equity indices, such as the S&amp;P 500 Index. This feature represents an embedded derivative under GAAP. The indexed annuities/IUL embedded derivatives are valued at fair value and included in the liability for Contractholder funds in the Consolidated Balance Sheets with the ceded portion of the reinsured indexed crediting feature embedded derivatives, recorded as a component of the Reinsurance recoverable in the Consolidated Balance Sheets. Changes in fair value are included as a component of Benefits and other changes in policy reserves in the Consolidated Statements of Earnings.</w:t>
      </w:r>
    </w:p>
    <w:p>
      <w:pPr>
        <w:spacing w:after="0" w:line="58"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purchase derivatives consisting of a combination of equity options and futures contracts (specifically for indexed annuity contracts) on the applicable market indices to fund the index credits due to indexed annuity/IUL contractholders. The equity options are one, two, three, five and six year options purchased to match the funding requirements of the underlying policies. On the respective anniversary dates of the indexed policies, the index used to compute the interest credit is reset and we purchase new equity options to fund the next index credit. We manage the cost of these purchases through the terms of our indexed annuities/IUL contracts, which permit us to change caps, spreads or participation rates, subject to guaranteed minimums, on each contract’s anniversary date. The change in the fair value of the equity options and futures contracts is generally designed to offset the portion of the change in the fair value of the indexed annuities/IUL embedded derivatives related to index performance through the current credit period. The equity options and futures contracts are marked to fair value with the change in fair value included as a component of Recognized gains and losses, net, in the Consolidated Statements of Earnings. The change in fair value of the equity options and futures contracts includes the gains and losses recognized at the expiration of the instrument term or upon early termination and the changes in fair value of open positions.</w:t>
      </w:r>
    </w:p>
    <w:p>
      <w:pPr>
        <w:spacing w:after="0" w:line="6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Other market exposures are hedged periodically depending on market conditions and our risk tolerance. Our indexed annuities/IUL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Interest Rate Swaps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utilize interest rate swaps to reduce market risks from interest rate changes on our earnings associated with our floating rate investments. With an interest rate swap, we agree with another party to exchange, at specified intervals, the difference between fixed-rate and floating-rate interest amounts tied to an agreed upon notional principal.</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interest rate swaps are marked to fair value with the change in fair value, including accrued interest and related periodic cash flows received or paid, included as a component of Recognized gains and losses, net, in the Consolidated Statements of Earnings.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Foreign Currency Swaps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utilize foreign currency swaps to reduce market risks from fluctuations in foreign exchange rates that impact earnings associated with our foreign currency denominated investments. Through a foreign currency swap, we agree with another party to exchange, at specified intervals, principal and interest payments in one currency for principal and interest payments in another currency, based on an agreed-upon notional amount.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foreign currency swaps are marked to fair value with the change in fair value, including accrued interest and related periodic cash flows received or paid, included as a component of Recognized gains and losses, net, in the Consolidated Statements of Earnings.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Reinsurance Related Embedded Derivatives</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F&amp;G cedes certain business on a coinsurance funds withheld basis. Investment results for the assets that support the coinsurance are segregated within the funds withheld account and are passed directly to the reinsurer pursuant to the contractual terms of the reinsurance agreement, which creates embedded derivatives considered to be total return swaps. These total return swaps are not clearly and closely related to the underlying reinsurance agreement and thus require bifurcation. For arrangements reinsuring indexed annuities products, the funds withheld account additionally contains an embedded derivative representing the index credit obligation due the reinsurer, resulting in a compound embedded derivative. Beginning in 2025, these embedded derivatives are reported in Funds withheld for reinsurance liabilities, irrespective if in a net asset position or a net liability position, on the Consolidated Balance Sheets and prior periods have been reclassified from Prepaid expenses and other assets to conform with the current presentation. The related gains or losses are reported in Recognized gains and losses, net, on the Consolidated Statements of Earnings.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Credit Risk</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exposed to credit loss in the event of non-performance by our counterparties and reflect assumptions regarding this non-performance risk in the fair value of our derivatives.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manage credit risk related to non-performance by our counterparties by (i) entering into derivative transactions with creditworthy counterparties; (ii) obtaining collateral, such as cash and securities when appropriate; and (iii) establishing counterparty exposure limits, which are subject to periodic management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Information regarding our exposure to credit loss on the derivative instruments we hold, excluding futures contracts, is presented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740" w:type="dxa"/>
            <w:vAlign w:val="bottom"/>
          </w:tcPr>
          <w:p>
            <w:pPr>
              <w:spacing w:after="0"/>
              <w:rPr>
                <w:sz w:val="13"/>
                <w:szCs w:val="1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Net Credit Risk</w:t>
            </w:r>
          </w:p>
        </w:tc>
      </w:tr>
      <w:tr>
        <w:trPr>
          <w:trHeight w:val="154"/>
        </w:trPr>
        <w:tc>
          <w:tcPr>
            <w:tcW w:w="6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6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2025</w:t>
            </w:r>
          </w:p>
        </w:tc>
        <w:tc>
          <w:tcPr>
            <w:tcW w:w="112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1,137</w:t>
            </w:r>
          </w:p>
        </w:tc>
        <w:tc>
          <w:tcPr>
            <w:tcW w:w="28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1,185</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r>
      <w:tr>
        <w:trPr>
          <w:trHeight w:val="147"/>
        </w:trPr>
        <w:tc>
          <w:tcPr>
            <w:tcW w:w="6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1120" w:type="dxa"/>
            <w:vAlign w:val="bottom"/>
          </w:tcPr>
          <w:p>
            <w:pPr>
              <w:spacing w:after="0"/>
              <w:rPr>
                <w:sz w:val="12"/>
                <w:szCs w:val="12"/>
                <w:color w:val="auto"/>
              </w:rPr>
            </w:pPr>
          </w:p>
        </w:tc>
        <w:tc>
          <w:tcPr>
            <w:tcW w:w="4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782</w:t>
            </w:r>
          </w:p>
        </w:tc>
        <w:tc>
          <w:tcPr>
            <w:tcW w:w="280" w:type="dxa"/>
            <w:vAlign w:val="bottom"/>
          </w:tcPr>
          <w:p>
            <w:pPr>
              <w:spacing w:after="0"/>
              <w:rPr>
                <w:sz w:val="12"/>
                <w:szCs w:val="12"/>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771</w:t>
            </w: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Collateral Agreements</w:t>
      </w:r>
    </w:p>
    <w:p>
      <w:pPr>
        <w:spacing w:after="0" w:line="96"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We are required to maintain minimum ratings as a matter of routine practice as part of our over-the-counter derivative agreements on ISDA forms. Under some ISDA agreements, we have agreed to maintain certain financial strength ratings. A downgrade below these levels provides the counterparty under the agreement the right to terminate the open derivative contracts between the parties, at which time any amounts payable by us or the counterparty would be dependent on the market value of the underlying contracts. Our current rating does not allow any counterparty the right to terminate ISDA agreements. In certain transactions, both us and the counterparty have entered into a collateral support agreement requiring either party to post collateral when the net exposures exceed pre-determined thresholds. For all counterparties, except one, the threshold is set to zero. As of December 31, 2025 and 2024, counterparties posted collateral of $1,185 million and $771 million, respectively. This included cash collateral of $928 million and $679 million, respectively, for which we record an associated payable included in Accounts payable and accrued liabilities on the Consolidated Balance Sheets. Cash collateral received is not legally segregated and may be used by the Company in the normal course of business. The Company is obligated to return an equivalent amount of collateral upon settlement or termination of the related derivative contracts, or otherwise in accordance with the collateral provisions of such agreements, including in circumstances where changes in market conditions cause the Company’s mark-to-market position to decline. The remaining collateral represents securities collateral received that is not reported on the Consolidated Balance Sheets. Accordingly, the maximum amount of loss due to credit risk that we would incur if parties to the derivatives failed completely to perform according to the terms of the contracts, after giving effect to cash and securities collateral held, was $34 million at both December 31, 2025 and 2024.</w:t>
      </w:r>
    </w:p>
    <w:p>
      <w:pPr>
        <w:spacing w:after="0" w:line="63"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pay our counterparties the effective federal funds interest rate each day for cash collateral posted to us. Cash collateral is reinvested in overnight investment sweep products, which are included in Cash and cash equivalents on the Consolidated Balance Sheets, to reduce the interest cost. Changes in cash collateral are included in the Change in derivative collateral liabilities in the Consolidated Statements of Cash Flows.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held 172 and 527 futures contracts at December 31, 2025 and 2024, respectively. The fair value of the futures contracts represents the cumulative unsettled variation margin (open trade equity, net of cash settlements). We provide cash collateral to the counterparties for the initial and variation margin on the futures contracts, which is included in Cash and cash equivalents in the Consolidated Balance Sheets. The amount of cash collateral held by the counterparties for such contracts was $4 million and $7 million at December 31, 2025 and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F — Notes Payable</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Notes payable consists of the following: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80" w:type="dxa"/>
            <w:vAlign w:val="bottom"/>
          </w:tcPr>
          <w:p>
            <w:pPr>
              <w:spacing w:after="0"/>
              <w:rPr>
                <w:sz w:val="13"/>
                <w:szCs w:val="13"/>
                <w:color w:val="auto"/>
              </w:rPr>
            </w:pPr>
          </w:p>
        </w:tc>
      </w:tr>
      <w:tr>
        <w:trPr>
          <w:trHeight w:val="164"/>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4.50%</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shd w:val="clear" w:color="auto" w:fill="CCEEFF"/>
          </w:tcPr>
          <w:p>
            <w:pPr>
              <w:jc w:val="right"/>
              <w:ind w:right="11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3.40%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r>
      <w:tr>
        <w:trPr>
          <w:trHeight w:val="165"/>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2.45%</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3.20%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r>
      <w:tr>
        <w:trPr>
          <w:trHeight w:val="16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3"/>
        </w:trPr>
        <w:tc>
          <w:tcPr>
            <w:tcW w:w="80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F&amp;G Credit Agreement</w:t>
            </w:r>
          </w:p>
        </w:tc>
        <w:tc>
          <w:tcPr>
            <w:tcW w:w="126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5.50% F&amp;G Notes</w:t>
            </w:r>
          </w:p>
        </w:tc>
        <w:tc>
          <w:tcPr>
            <w:tcW w:w="12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301</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7.40%</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497</w:t>
            </w:r>
          </w:p>
        </w:tc>
      </w:tr>
      <w:tr>
        <w:trPr>
          <w:trHeight w:val="165"/>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7.30% F&amp;G Notes</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7.95%</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w:t>
            </w:r>
          </w:p>
        </w:tc>
      </w:tr>
      <w:tr>
        <w:trPr>
          <w:trHeight w:val="165"/>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98"/>
              </w:rPr>
              <w:t>6.50%</w:t>
            </w:r>
          </w:p>
        </w:tc>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r>
      <w:tr>
        <w:trPr>
          <w:trHeight w:val="153"/>
        </w:trPr>
        <w:tc>
          <w:tcPr>
            <w:tcW w:w="3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98"/>
              </w:rPr>
              <w:t>6.25%</w:t>
            </w:r>
          </w:p>
        </w:tc>
        <w:tc>
          <w:tcPr>
            <w:tcW w:w="7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F&amp;G Notes, net of discount</w:t>
            </w:r>
          </w:p>
        </w:tc>
        <w:tc>
          <w:tcPr>
            <w:tcW w:w="12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r>
      <w:tr>
        <w:trPr>
          <w:trHeight w:val="159"/>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7740" w:type="dxa"/>
            <w:vAlign w:val="bottom"/>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0"/>
        </w:trPr>
        <w:tc>
          <w:tcPr>
            <w:tcW w:w="3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1260" w:type="dxa"/>
            <w:vAlign w:val="bottom"/>
            <w:tcBorders>
              <w:bottom w:val="single" w:sz="8" w:color="auto"/>
            </w:tcBorders>
          </w:tcPr>
          <w:p>
            <w:pPr>
              <w:jc w:val="right"/>
              <w:ind w:right="11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4,400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4,321</w:t>
            </w:r>
          </w:p>
        </w:tc>
      </w:tr>
      <w:tr>
        <w:trPr>
          <w:trHeight w:val="20"/>
        </w:trPr>
        <w:tc>
          <w:tcPr>
            <w:tcW w:w="3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January 13, 2025, F&amp;G completed its public offering of the 7.30% F&amp;G Junior Notes. F&amp;G used a portion of the net proceeds of this offering to redeem the outstanding $300 million aggregate principal amount of its 5.50% F&amp;G Senior Notes.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F&amp;G used the remaining net proceeds for general corporate purposes. The 7.30% F&amp;G Junior Notes are junior, unsecured subordinated obligations of F&amp;G. Interest is payable quarterly in arrears beginning on April 15, 2025, and the 7.30% F&amp;G Junior Notes mature on January 15, 2065, unless earlier repurchased or redeemed. The 7.30% F&amp;G Junior Notes become redeemable in whole or in part, any time and from time to time on or after January 15, 2030 or within 90 days of the occurrence of certain events as described in the indenture. The 7.30% F&amp;G Junior Notes were registered under the Securities Act of 1933 (as amended) (the “Securities Act”).</w:t>
      </w:r>
    </w:p>
    <w:p>
      <w:pPr>
        <w:spacing w:after="0" w:line="56"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October 4, 2024, F&amp;G issued $500 million of its 6.25% Senior Notes due 2034. The 6.25% F&amp;G Notes were issued at 99.36% of face value, net of deferred issuance costs of approximately $8 million The 6.25% F&amp;G Notes are senior unsecured, unsubordinated obligations of F&amp;G and are guaranteed by each of F&amp;G's subsidiaries that are guarantors of F&amp;G's obligations under its existing credit agreement. The 6.25% F&amp;G Notes mature on October 4, 2034, and become callable on July 4, 2034. Interest is payable semi-annually at a fixed rate of 6.25%, and if the 6.25% F&amp;G Notes are downgraded, the interest rate payable is subject to adjustment from time to time per the terms of the indenture. A portion of the net proceeds were used to pay off the outstanding balance of $365 million on the F&amp;G Credit Agreement described below. The remaining net proceeds of this offering were used for general corporate purposes, including the support of organic growth opportunities.</w:t>
      </w:r>
    </w:p>
    <w:p>
      <w:pPr>
        <w:spacing w:after="0" w:line="23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June 4, 2024, F&amp;G issued $550 million of its 6.50% Senior Notes due 2029. The 6.50% F&amp;G Notes were issued at 99.74% of face value, net of deferred issuance costs of approximately $6 million. The 6.50% F&amp;G Notes are senior unsecured, unsubordinated obligations of F&amp;G and are guaranteed by each of F&amp;G's subsidiaries that are guarantors of F&amp;G's obligations under its existing credit agreement. The 6.50% F&amp;G Notes mature on June 4, 2029, and become callable on May 4, 2029. Interest is payable semi-annually at a fixed rate of 6.50%, and if the 6.50% F&amp;G Notes are downgraded, the interest rate payable is subject to adjustment from time to time per the terms of the indenture. A portion of the net proceeds were used to finance a cash tender offer by its wholly owned subsidiary Fidelity &amp; Guaranty Life Holdings, Inc. (“FGLH”) for an aggregate principal amount of $250 million of FGLH’s 5.50% Senior Notes due 2025 (the “5.50% F&amp;G Notes”). The remaining net proceeds of this offering were used for for general corporate purposes, including the repurchase, redemption or repayment at maturity of outstanding indebtedness.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On December 6, 2023, F&amp;G issued $345 million of its 7.95% Senior Notes due 2053 (the "7.95% F&amp;G Notes"). The 7.95% F&amp;G Notes were issued at par, net of deferred issuance costs of approximately $9 million. The 7.95% F&amp;G Notes are senior unsecured, unsubordinated obligations of F&amp;G and are guaranteed by each of F&amp;G’s subsidiaries that are guarantors of F&amp;G’s obligations under its existing credit agreement. The 7.95% F&amp;G Notes mature on December 15, 2053, and become callable on or after December 15, 2028. Interest is payable quarterly at a fixed rate of 7.95%, and, if the 7.95% F&amp;G Notes are downgraded, the interest rate payable is subject to adjustment from time to time per the terms of the indenture.</w:t>
      </w:r>
    </w:p>
    <w:p>
      <w:pPr>
        <w:spacing w:after="0" w:line="5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January 13, 2023, F&amp;G issued $500 million of its 7.40% F&amp;G Notes due 2028 (the 7.40% F&amp;G Notes"). The 7.40% F&amp;G Notes were issued at par, net of deferred issuance costs of approximately $6 million. The 7.40% F&amp;G Notes are senior, unsecured unsubordinated obligations of F&amp;G and are fully and unconditionally guaranteed on an unsecured, unsubordinated basis by each of F&amp;G’s subsidiaries that are guarantors of F&amp;G’s obligations under its existing credit agreement. The 7.40% F&amp;G Notes mature on January 13, 2028, and become callable on or after December 13, 2027. Interest is payable semi-annually at a fixed rate of 7.40%, and if, the 7.40% F&amp;G Notes are downgraded, the interest rate payable is subject to adjustment from time to time per the terms of the indenture.</w:t>
      </w:r>
    </w:p>
    <w:p>
      <w:pPr>
        <w:spacing w:after="0" w:line="58"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 xml:space="preserve">On April 20, 2018, Fidelity &amp; Guaranty Life Holdings, Inc. (“FGLH”), F&amp;G's indirect wholly owned subsidiary, completed a debt offering of $550 million of 5.50% F&amp;G Notes due May 1, 2025 at 99.5% of face value for proceeds of $547 million. As a result of our acquisition of F&amp;G in 2020, a premium of $39 million was established for these notes and is being amortized over the remaining life of the debt through 2025. In conjunction with the acquisition, we became a guarantor of FGLH's obligations under the 5.50% F&amp;G Notes and agreed to fully and unconditionally guarantee the 5.50% F&amp;G Notes, on a joint and several basis. A portion of the net proceeds of the 6.50% F&amp;G Notes were used for a $250 million cash tender offer of the 5.50% F&amp;G Notes in June 2024. On February 1, 2025, F&amp;G redeemed the outstanding $300 million aggregate principal amount of the 5.50% F&amp;G Senior Notes. The notes were redeemed for a redemption price equal to 100% of the principal amount of the notes plus accrued and unpaid interest to, but excluding, the redemption date. Refer to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for a discussion of the redemption of the 5.50% F&amp;G Notes.</w:t>
      </w:r>
    </w:p>
    <w:p>
      <w:pPr>
        <w:spacing w:after="0" w:line="62"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November 22, 2022, F&amp;G entered into the F&amp;G Credit Agreement pursuant to which the Lenders have made available the F&amp;G Credit Facility in an aggregate principal amount of $550 million to be used for working capital and general corporate purposes. On February 21, 2023, F&amp;G entered into the Amended F&amp;G Credit Agreement with the Lenders and the Administrative Agent, swing line lender and issuing bank. The Amended F&amp;G Credit Agreement increased the aggregate principal amount of commitments under the F&amp;G Credit Facility by $115 million to $665 million. On February 16, 2024, F&amp;G entered into a Second Amended and Restated F&amp;G Credit Agreement. Among other changes, the Second Amended and Restated F&amp;G Credit Agreement amends the Amended F&amp;G Credit Agreement to extend the maturity date to November 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2027, and increase the aggregate principal amount of commitments under the revolving credit facility to $750 million.</w:t>
      </w:r>
    </w:p>
    <w:p>
      <w:pPr>
        <w:spacing w:after="0" w:line="94"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Revolving loans under the Credit Agreement generally bear interest at a variable rate based on either (i) the base rate (which is the highest of (a) one-half of one percent in excess of the federal funds rate, (b) the Administrative Agent’s “prime rate”, or (c) the sum of one percent plus Term The Secured Overnight Financing Rate (“SOFR”) plus a margin of between 30.0 and 80.0 basis points depending on the non-credit-enhanced, senior unsecured long-term debt ratings of F&amp;G or (ii) Term SOFR plus a margin of between 130.0 and 180.0 basis points depending on the non-credit-enhanced, senior unsecured long-term debt ratings of F&amp;G. In addition, F&amp;G pays a facility fee of between 20.0 and 45.0 basis points on the entire facility, also depending on the non-credit-enhanced, senior unsecured long-term debt ratings, which is payable quarterly in arrears. The average variable interest rate on the revolving credit facility for the period the debt was outstanding in 2025 was 0.00% compared to 7.06% for the year ended December 31, 2024.</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of December 31, 2025 and 2024, $0 million and $0 million, respectively, of gross principal balance, was outstanding under the F&amp;G Credit Agreement. As of December 31, 2025, we had $750 million of remaining borrowing availability.</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September 17, 2021, we completed our underwritten public offering of $450 million aggregate principal amount of our 3.20% Notes due 2051, pursuant to our registration statement on Form S-3 ASR (File No. 333-239002) and the related prospectus supplement. The net proceeds from the registered offering of the 3.20% Notes were approximately $443 million, after deducting underwriting discounts, commissions and offering expenses. We plan to use the net proceeds from the offering for general corporate purposes.</w:t>
      </w:r>
    </w:p>
    <w:p>
      <w:pPr>
        <w:spacing w:after="0" w:line="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 The material terms of the Fourth Restated Credit Agreement are set forth in our Annual Report for the year ended December 31, 2019. As of December 31, 2025, there was no principal outstanding, $3 million of unamortized debt issuance costs, and $800 million of available borrowing capacity under the Revolving Credit Facility. On February 16, 2024, we entered into a Sixth Amended and Restated Credit Agreement. Among other changes, the Sixth Amended and Restated Credit Agreement amends the Fifth Restated Credit Agreement to extend the maturity date from October 29, 2025 to February 16, 2029.</w:t>
      </w:r>
    </w:p>
    <w:p>
      <w:pPr>
        <w:spacing w:after="0" w:line="6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September 15, 2020, we completed our underwritten public offering of $600 million aggregate principal amount of our 2.45% Notes due March 15, 2031 (the "2.45% Notes") pursuant to an effective registration statement filed with the Securities and Exchange Commission ("SEC"). The net proceeds from the registered offering of the 2.45% Notes were approximately $593 million, after deducting underwriting discounts and commissions and offering expenses. We used the net proceeds from the offering (i) to repay the remaining $260 million outstanding indebtedness under our prior term loan credit agreement dated April 22, 2020, among us, as borrower, various lenders, and Bank of American N.A., as administrative agent (the "Term Loan"), which provided for an aggregate principal borrowing of $1.0 billion that we entered into to fund a portion of the acquisition of F&amp;G and (ii) for general corporate purposes.</w:t>
      </w:r>
    </w:p>
    <w:p>
      <w:pPr>
        <w:spacing w:after="0" w:line="58"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On June 12, 2020, we completed our underwritten public offering of $650 million aggregate principal amount of the 3.40% Notes due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then outstanding principal amount under the Term Loan, and (ii) for general corporate purposes.</w:t>
      </w:r>
    </w:p>
    <w:p>
      <w:pPr>
        <w:spacing w:after="0" w:line="227"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01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737"/>
        </w:trPr>
        <w:tc>
          <w:tcPr>
            <w:tcW w:w="260" w:type="dxa"/>
            <w:vAlign w:val="bottom"/>
          </w:tcPr>
          <w:p>
            <w:pPr>
              <w:spacing w:after="0"/>
              <w:rPr>
                <w:sz w:val="24"/>
                <w:szCs w:val="24"/>
                <w:color w:val="auto"/>
              </w:rPr>
            </w:pPr>
          </w:p>
        </w:tc>
        <w:tc>
          <w:tcPr>
            <w:tcW w:w="98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Gross principal maturities of notes payable at December 31, 2025, are as follows:</w:t>
            </w:r>
          </w:p>
        </w:tc>
        <w:tc>
          <w:tcPr>
            <w:tcW w:w="240" w:type="dxa"/>
            <w:vAlign w:val="bottom"/>
          </w:tcPr>
          <w:p>
            <w:pPr>
              <w:spacing w:after="0"/>
              <w:rPr>
                <w:sz w:val="24"/>
                <w:szCs w:val="24"/>
                <w:color w:val="auto"/>
              </w:rPr>
            </w:pP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47"/>
        </w:trPr>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2026</w:t>
            </w:r>
          </w:p>
        </w:tc>
        <w:tc>
          <w:tcPr>
            <w:tcW w:w="9120" w:type="dxa"/>
            <w:vAlign w:val="bottom"/>
          </w:tcPr>
          <w:p>
            <w:pPr>
              <w:spacing w:after="0"/>
              <w:rPr>
                <w:sz w:val="12"/>
                <w:szCs w:val="12"/>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spacing w:after="0"/>
              <w:rPr>
                <w:sz w:val="12"/>
                <w:szCs w:val="12"/>
                <w:color w:val="auto"/>
              </w:rPr>
            </w:pPr>
          </w:p>
        </w:tc>
      </w:tr>
      <w:tr>
        <w:trPr>
          <w:trHeight w:val="178"/>
        </w:trPr>
        <w:tc>
          <w:tcPr>
            <w:tcW w:w="260" w:type="dxa"/>
            <w:vAlign w:val="bottom"/>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9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47"/>
        </w:trPr>
        <w:tc>
          <w:tcPr>
            <w:tcW w:w="260" w:type="dxa"/>
            <w:vAlign w:val="bottom"/>
          </w:tcPr>
          <w:p>
            <w:pPr>
              <w:spacing w:after="0"/>
              <w:rPr>
                <w:sz w:val="12"/>
                <w:szCs w:val="1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9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72"/>
        </w:trPr>
        <w:tc>
          <w:tcPr>
            <w:tcW w:w="260" w:type="dxa"/>
            <w:vAlign w:val="bottom"/>
          </w:tcPr>
          <w:p>
            <w:pPr>
              <w:spacing w:after="0"/>
              <w:rPr>
                <w:sz w:val="14"/>
                <w:szCs w:val="14"/>
                <w:color w:val="auto"/>
              </w:rPr>
            </w:pPr>
          </w:p>
        </w:tc>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9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2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9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9"/>
        </w:trPr>
        <w:tc>
          <w:tcPr>
            <w:tcW w:w="260" w:type="dxa"/>
            <w:vAlign w:val="bottom"/>
          </w:tcPr>
          <w:p>
            <w:pPr>
              <w:spacing w:after="0"/>
              <w:rPr>
                <w:sz w:val="13"/>
                <w:szCs w:val="13"/>
                <w:color w:val="auto"/>
              </w:rPr>
            </w:pPr>
          </w:p>
        </w:tc>
        <w:tc>
          <w:tcPr>
            <w:tcW w:w="9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0"/>
        </w:trPr>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12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w:t>
            </w: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4"/>
          <w:szCs w:val="14"/>
          <w:b w:val="1"/>
          <w:bCs w:val="1"/>
          <w:color w:val="auto"/>
        </w:rPr>
        <w:t>Note G — Commitments and Contingencies</w:t>
      </w:r>
    </w:p>
    <w:p>
      <w:pPr>
        <w:spacing w:after="0" w:line="94"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Contingencies</w:t>
      </w:r>
    </w:p>
    <w:p>
      <w:pPr>
        <w:spacing w:after="0" w:line="96" w:lineRule="exact"/>
        <w:rPr>
          <w:sz w:val="20"/>
          <w:szCs w:val="20"/>
          <w:color w:val="auto"/>
        </w:rPr>
      </w:pPr>
    </w:p>
    <w:p>
      <w:pPr>
        <w:jc w:val="both"/>
        <w:ind w:right="80" w:firstLine="255"/>
        <w:spacing w:after="0" w:line="261" w:lineRule="auto"/>
        <w:rPr>
          <w:sz w:val="20"/>
          <w:szCs w:val="20"/>
          <w:color w:val="auto"/>
        </w:rPr>
      </w:pPr>
      <w:r>
        <w:rPr>
          <w:rFonts w:ascii="Times New Roman" w:cs="Times New Roman" w:eastAsia="Times New Roman" w:hAnsi="Times New Roman"/>
          <w:sz w:val="14"/>
          <w:szCs w:val="14"/>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B </w:t>
      </w:r>
      <w:r>
        <w:rPr>
          <w:rFonts w:ascii="Times New Roman" w:cs="Times New Roman" w:eastAsia="Times New Roman" w:hAnsi="Times New Roman"/>
          <w:sz w:val="14"/>
          <w:szCs w:val="14"/>
          <w:i w:val="1"/>
          <w:iCs w:val="1"/>
          <w:color w:val="auto"/>
        </w:rPr>
        <w:t>Summary of Reserve for Title Claim Losses</w:t>
      </w:r>
      <w:r>
        <w:rPr>
          <w:rFonts w:ascii="Times New Roman" w:cs="Times New Roman" w:eastAsia="Times New Roman" w:hAnsi="Times New Roman"/>
          <w:sz w:val="14"/>
          <w:szCs w:val="14"/>
          <w:color w:val="auto"/>
        </w:rPr>
        <w:t xml:space="preserve"> for further discussion.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58" w:lineRule="exact"/>
        <w:rPr>
          <w:sz w:val="20"/>
          <w:szCs w:val="20"/>
          <w:color w:val="auto"/>
        </w:rPr>
      </w:pPr>
    </w:p>
    <w:p>
      <w:pPr>
        <w:jc w:val="both"/>
        <w:ind w:right="80" w:firstLine="255"/>
        <w:spacing w:after="0" w:line="258" w:lineRule="auto"/>
        <w:rPr>
          <w:sz w:val="20"/>
          <w:szCs w:val="20"/>
          <w:color w:val="auto"/>
        </w:rPr>
      </w:pPr>
      <w:r>
        <w:rPr>
          <w:rFonts w:ascii="Times New Roman" w:cs="Times New Roman" w:eastAsia="Times New Roman" w:hAnsi="Times New Roman"/>
          <w:sz w:val="14"/>
          <w:szCs w:val="14"/>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that represents our best estimate has been recorded. Our accrual for legal and regulatory matters was $7 million and $17 million as of December 31, 2025 and 2024,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60" w:lineRule="exact"/>
        <w:rPr>
          <w:sz w:val="20"/>
          <w:szCs w:val="20"/>
          <w:color w:val="auto"/>
        </w:rPr>
      </w:pPr>
    </w:p>
    <w:p>
      <w:pPr>
        <w:jc w:val="both"/>
        <w:ind w:right="80" w:firstLine="255"/>
        <w:spacing w:after="0" w:line="260" w:lineRule="auto"/>
        <w:rPr>
          <w:sz w:val="20"/>
          <w:szCs w:val="20"/>
          <w:color w:val="auto"/>
        </w:rPr>
      </w:pPr>
      <w:r>
        <w:rPr>
          <w:rFonts w:ascii="Times New Roman" w:cs="Times New Roman" w:eastAsia="Times New Roman" w:hAnsi="Times New Roman"/>
          <w:sz w:val="14"/>
          <w:szCs w:val="14"/>
          <w:color w:val="auto"/>
        </w:rPr>
        <w:t xml:space="preserve">On June 10, 2025, a stockholder derivative lawsuit styled, </w:t>
      </w:r>
      <w:r>
        <w:rPr>
          <w:rFonts w:ascii="Times New Roman" w:cs="Times New Roman" w:eastAsia="Times New Roman" w:hAnsi="Times New Roman"/>
          <w:sz w:val="14"/>
          <w:szCs w:val="14"/>
          <w:i w:val="1"/>
          <w:iCs w:val="1"/>
          <w:color w:val="auto"/>
        </w:rPr>
        <w:t>Patrick Ayers v. William P. Foley, Douglas K. Ammerman, Halim Dhanidina, Thomas M. Hagerty, Daniel D. Lane, Heather H. Miller,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Sandra D. Morgan, John D. Rood, Peter O. Shea, Jr., Cary H. Thompson, and Fidelity National Financial, Inc</w:t>
      </w:r>
      <w:r>
        <w:rPr>
          <w:rFonts w:ascii="Times New Roman" w:cs="Times New Roman" w:eastAsia="Times New Roman" w:hAnsi="Times New Roman"/>
          <w:sz w:val="14"/>
          <w:szCs w:val="14"/>
          <w:color w:val="auto"/>
        </w:rPr>
        <w:t>., C.A. No. 2025-0650-LWW, was filed in the Chancery Court of the State of Delaware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against FNF and its non-employee members of its Board of Directors alleging they breached their fiduciary duties related to their compensation in 2022, 2023, and 2024, and were unjustly enriched. Plaintiff seeks disgorgement of any alleged excessive and unfair compensation payments, the recovery of damages on behalf of FNF, and the reformation of certain corporate governance and internal measures to protect FNF and its stockholders going forward. On August 1, 2025, defendants filed a motion to dismiss the lawsuit based on various grounds. A hearing on the motion has been rescheduled for March 9, 2026. At this time, FNF does not believe the lawsuit will have a material impact on its business, operations, or financial results.</w:t>
      </w:r>
    </w:p>
    <w:p>
      <w:pPr>
        <w:spacing w:after="0" w:line="59" w:lineRule="exact"/>
        <w:rPr>
          <w:sz w:val="20"/>
          <w:szCs w:val="20"/>
          <w:color w:val="auto"/>
        </w:rPr>
      </w:pPr>
    </w:p>
    <w:p>
      <w:pPr>
        <w:jc w:val="both"/>
        <w:ind w:right="80" w:firstLine="255"/>
        <w:spacing w:after="0" w:line="256" w:lineRule="auto"/>
        <w:rPr>
          <w:sz w:val="20"/>
          <w:szCs w:val="20"/>
          <w:color w:val="auto"/>
        </w:rPr>
      </w:pPr>
      <w:r>
        <w:rPr>
          <w:rFonts w:ascii="Times New Roman" w:cs="Times New Roman" w:eastAsia="Times New Roman" w:hAnsi="Times New Roman"/>
          <w:sz w:val="14"/>
          <w:szCs w:val="14"/>
          <w:color w:val="auto"/>
        </w:rPr>
        <w:t xml:space="preserve">Fidelity &amp; Guaranty Life Insurance Company (“FGL Insurance”) is a defendant in a lawsuit filed in U.S. District Court for the Southern District of Texas (the “Southern District of Texas”) styled, </w:t>
      </w:r>
      <w:r>
        <w:rPr>
          <w:rFonts w:ascii="Times New Roman" w:cs="Times New Roman" w:eastAsia="Times New Roman" w:hAnsi="Times New Roman"/>
          <w:sz w:val="14"/>
          <w:szCs w:val="14"/>
          <w:i w:val="1"/>
          <w:iCs w:val="1"/>
          <w:color w:val="auto"/>
        </w:rPr>
        <w:t>Insurance Distribution Consulting, LLC v. Fidelity &amp; Guaranty Life Insurance Company</w:t>
      </w:r>
      <w:r>
        <w:rPr>
          <w:rFonts w:ascii="Times New Roman" w:cs="Times New Roman" w:eastAsia="Times New Roman" w:hAnsi="Times New Roman"/>
          <w:sz w:val="14"/>
          <w:szCs w:val="14"/>
          <w:color w:val="auto"/>
        </w:rPr>
        <w:t>, Case No. 3:23-cv-00126. Plaintiff, which provides consulting services to independent marketing organizations (“IMO”), alleges FGL Insurance failed to pay commissions owed to plaintiff and diverted commissions from one of plaintiff’s IMO customers, Syncis, to another IMO, Freedom Equity Group, LLC (“Freedom Equity”). Further, plaintiff alleges after FGL Insurance purportedly purchased a partial ownership interest in Syncis and Freedom Equity, plaintiff offered to sell its interests in its contracts with Syncis but FGL Insurance declined, leading plaintiff to allege a statutory violation of 42 U.S.C. §1981 for discrimination where plaintiff’s sole member is a racial minority. Plaintiff claims its damages for breach of contract from FGL Insurance’s purported failure to pay commissions are more than $162 million and its damages from FGL Insurance’s declining to purchase plaintiff’s interest in its contracts with Syncis are over $11 million. FGL Insurance denies the allegations and denies any contract or agreement existed with plaintiff to pay commissions. On April 21, 2025, FGL Insurance filed its initial motion for summary judgment. On June 5, 2025, plaintiff amended its complaint to include an additional breach of contract claim, prompting FGL Insurance to file a second motion for summary judgment on July 18, 2025, addressing the new allegation. Both motions for summary judgment were argued on February 20, 2026, and a decision is pending with the court. Additionally, FGL Insurance’s motion to exclude plaintiff’s expert testimony as inadmissible, filed June</w:t>
      </w: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16" w:right="2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9, 2025, remains pending with the Southern District of Texas. On July 18, 2025, Peak Altitude Equity, LLC (“Peak”), a subsidiary of Fidelity &amp; Guaranty Life Holdings, Inc., was served with a new lawsuit filed by Insurance Distribution Consulting, LLC (“IDC”) as a counterclaim in response to a separate breach of contract lawsuit initiated against IDC by Syncis. The case, styled </w:t>
      </w:r>
      <w:r>
        <w:rPr>
          <w:rFonts w:ascii="Times New Roman" w:cs="Times New Roman" w:eastAsia="Times New Roman" w:hAnsi="Times New Roman"/>
          <w:sz w:val="14"/>
          <w:szCs w:val="14"/>
          <w:i w:val="1"/>
          <w:iCs w:val="1"/>
          <w:color w:val="auto"/>
        </w:rPr>
        <w:t>Syncis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Insurance Solutions, LLC v. Insurance Distribution Consulting, LLC</w:t>
      </w:r>
      <w:r>
        <w:rPr>
          <w:rFonts w:ascii="Times New Roman" w:cs="Times New Roman" w:eastAsia="Times New Roman" w:hAnsi="Times New Roman"/>
          <w:sz w:val="14"/>
          <w:szCs w:val="14"/>
          <w:color w:val="auto"/>
        </w:rPr>
        <w:t>, Case No. 2:25-cv-03874, is pending in the U.S. District Court for the Central District of California (the “Central District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California”), and certain facts alleged by IDC against Peak overlap with those asserted in the lawsuit filed by IDC against FGL Insurance. On September 8, 2025, Peak filed its motion to dismiss IDC’s counterclaim on various grounds. A decision is pending with the Central District of California. FGL Insurance and Peak will vigorously contest the plaintiff’s claims in the actions. As these cases continue to evolve, it is not possible to reasonably estimate the probability that plaintiff will ultimately prevail on its claims or that FGL Insurance or Peak will be held liable for the dispute. At this time, we do not believe the lawsuit will have a material impact on our business, operations, or financial results.</w:t>
      </w:r>
    </w:p>
    <w:p>
      <w:pPr>
        <w:spacing w:after="0" w:line="62"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F&amp;G is a defendant in two putative class action lawsuits related to the alleged compromise of certain customers’ personal information resulting from an alleged vulnerability in the MOVEit file transfer software. F&amp;G’s vendor, Pension Benefit Information, LLC (“PBI”), used the MOVEit software in the course of providing audit and address research services to F&amp;G and many other corporate customers. </w:t>
      </w:r>
      <w:r>
        <w:rPr>
          <w:rFonts w:ascii="Times New Roman" w:cs="Times New Roman" w:eastAsia="Times New Roman" w:hAnsi="Times New Roman"/>
          <w:sz w:val="14"/>
          <w:szCs w:val="14"/>
          <w:i w:val="1"/>
          <w:iCs w:val="1"/>
          <w:color w:val="auto"/>
        </w:rPr>
        <w:t>Miller v. F&amp;G</w:t>
      </w:r>
      <w:r>
        <w:rPr>
          <w:rFonts w:ascii="Times New Roman" w:cs="Times New Roman" w:eastAsia="Times New Roman" w:hAnsi="Times New Roman"/>
          <w:sz w:val="14"/>
          <w:szCs w:val="14"/>
          <w:color w:val="auto"/>
        </w:rPr>
        <w:t xml:space="preserve">, No. 4:23-cv-00326 was filed against F&amp;G in the Southern District of Iowa on August 31, 2023. Miller alleges that he is a F&amp;G customer whose information was impacted in the MOVEit incident and brings common law tort and implied contract claims. </w:t>
      </w:r>
      <w:r>
        <w:rPr>
          <w:rFonts w:ascii="Times New Roman" w:cs="Times New Roman" w:eastAsia="Times New Roman" w:hAnsi="Times New Roman"/>
          <w:sz w:val="14"/>
          <w:szCs w:val="14"/>
          <w:i w:val="1"/>
          <w:iCs w:val="1"/>
          <w:color w:val="auto"/>
        </w:rPr>
        <w:t>Cooper v. Progress Software Corp</w:t>
      </w:r>
      <w:r>
        <w:rPr>
          <w:rFonts w:ascii="Times New Roman" w:cs="Times New Roman" w:eastAsia="Times New Roman" w:hAnsi="Times New Roman"/>
          <w:sz w:val="14"/>
          <w:szCs w:val="14"/>
          <w:color w:val="auto"/>
        </w:rPr>
        <w:t xml:space="preserve">., No. 1:23-cv-12067 was filed against F&amp;G and five other defendants in the District of Massachusetts on September 7, 2023. </w:t>
      </w:r>
      <w:r>
        <w:rPr>
          <w:rFonts w:ascii="Times New Roman" w:cs="Times New Roman" w:eastAsia="Times New Roman" w:hAnsi="Times New Roman"/>
          <w:sz w:val="14"/>
          <w:szCs w:val="14"/>
          <w:i w:val="1"/>
          <w:iCs w:val="1"/>
          <w:color w:val="auto"/>
        </w:rPr>
        <w:t>Cooper</w:t>
      </w:r>
      <w:r>
        <w:rPr>
          <w:rFonts w:ascii="Times New Roman" w:cs="Times New Roman" w:eastAsia="Times New Roman" w:hAnsi="Times New Roman"/>
          <w:sz w:val="14"/>
          <w:szCs w:val="14"/>
          <w:color w:val="auto"/>
        </w:rPr>
        <w:t xml:space="preserve"> also alleges that he is a F&amp;G customer and brings similar common law tort claims and alleges claims as a purported third-party beneficiary of an alleged contract.</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Well over 150 similar lawsuits have been filed against other entities impacted by the MOVEit incident including a number of such lawsuits related to PBI’s use of MOVEit. On October 4, 2023, the U.S. Judicial Panel on Multidistrict Litigation created a multidistrict litigation (“MDL”) pursuant to 28 U.S.C. § 1407 to handle all litigation brought by individuals whose information was potentially compromised in connection with the alleged MOVEit vulnerability. Both </w:t>
      </w:r>
      <w:r>
        <w:rPr>
          <w:rFonts w:ascii="Times New Roman" w:cs="Times New Roman" w:eastAsia="Times New Roman" w:hAnsi="Times New Roman"/>
          <w:sz w:val="14"/>
          <w:szCs w:val="14"/>
          <w:i w:val="1"/>
          <w:iCs w:val="1"/>
          <w:color w:val="auto"/>
        </w:rPr>
        <w:t>Miller</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Cooper</w:t>
      </w:r>
      <w:r>
        <w:rPr>
          <w:rFonts w:ascii="Times New Roman" w:cs="Times New Roman" w:eastAsia="Times New Roman" w:hAnsi="Times New Roman"/>
          <w:sz w:val="14"/>
          <w:szCs w:val="14"/>
          <w:color w:val="auto"/>
        </w:rPr>
        <w:t xml:space="preserve"> have been transferred to the MDL and are consolidated under MDL Case No. 1:23-md-03083-ADB-PGL. The case is proceeding under a modified bellwether structure to decide critical issues and facilitate reciprocal discovery, and plaintiffs’ consolidated class action complaint against all the bellwether Defendants was filed on December 6, 2024. F&amp;G was not selected as a bellwether Defendant, and there is no schedule in place for further proceedings involving the non-bellwether Defendants like F&amp;G. At this time, we do not believe the incident will have a material impact on our business, operations, or financial results.</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business, operations, or financial results.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Escrow Balances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conducting our operations, we routinely hold customers’ assets in escrow, pending completion of real estate transactions, and are responsible for the proper disposition of these balances for our customers. Certain of these amounts are maintained in segregated bank accounts and have not been included in the accompanying Consolidated Balance Sheets, consistent with GAAP and industry practice. These balances amounted to $16.2 billion and $14.4 billion at December 31, 2025 and 2024, respectively. As a result of holding these customers’ assets in escrow, we have ongoing programs for realizing economic benefits during the year through favorable borrowing and vendor arrangements with various banks. There were no investments or loans outstanding as of December 31, 2025 and 2024 related to these arrangements.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 Commitments</w:t>
      </w:r>
    </w:p>
    <w:p>
      <w:pPr>
        <w:spacing w:after="0" w:line="9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In our F&amp;G segment, we have unfunded investment commitments as of December 31, 2025 based upon the timing of when investments and agreements are executed or signed compared to when the actual investments and agreements are funded or closed. Some investments require that funding occur over a period of months or years. A summary of unfunded commitments by commitment type is included below:</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54"/>
        </w:trPr>
        <w:tc>
          <w:tcPr>
            <w:tcW w:w="92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Commitment Type</w:t>
            </w:r>
          </w:p>
        </w:tc>
        <w:tc>
          <w:tcPr>
            <w:tcW w:w="260" w:type="dxa"/>
            <w:vAlign w:val="bottom"/>
          </w:tcPr>
          <w:p>
            <w:pPr>
              <w:spacing w:after="0"/>
              <w:rPr>
                <w:sz w:val="13"/>
                <w:szCs w:val="13"/>
                <w:color w:val="auto"/>
              </w:rPr>
            </w:pPr>
          </w:p>
        </w:tc>
        <w:tc>
          <w:tcPr>
            <w:tcW w:w="156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fixed maturity securities, AFS</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w:t>
            </w:r>
          </w:p>
        </w:tc>
      </w:tr>
      <w:tr>
        <w:trPr>
          <w:trHeight w:val="153"/>
        </w:trPr>
        <w:tc>
          <w:tcPr>
            <w:tcW w:w="9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Commercial mortgage loans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65"/>
        </w:trPr>
        <w:tc>
          <w:tcPr>
            <w:tcW w:w="9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Residential mortgage loans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53"/>
        </w:trPr>
        <w:tc>
          <w:tcPr>
            <w:tcW w:w="9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 assets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r>
      <w:tr>
        <w:trPr>
          <w:trHeight w:val="16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Consolidated VIEs: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53"/>
        </w:trPr>
        <w:tc>
          <w:tcPr>
            <w:tcW w:w="92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 long-term investments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r>
      <w:tr>
        <w:trPr>
          <w:trHeight w:val="165"/>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Unconsolidated VIEs:</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53"/>
        </w:trPr>
        <w:tc>
          <w:tcPr>
            <w:tcW w:w="92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Limited partnerships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w:t>
            </w:r>
          </w:p>
        </w:tc>
      </w:tr>
      <w:tr>
        <w:trPr>
          <w:trHeight w:val="165"/>
        </w:trPr>
        <w:tc>
          <w:tcPr>
            <w:tcW w:w="9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Asset-backed lending</w:t>
            </w:r>
          </w:p>
        </w:tc>
        <w:tc>
          <w:tcPr>
            <w:tcW w:w="26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263</w:t>
            </w:r>
          </w:p>
        </w:tc>
      </w:tr>
      <w:tr>
        <w:trPr>
          <w:trHeight w:val="153"/>
        </w:trPr>
        <w:tc>
          <w:tcPr>
            <w:tcW w:w="924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Fixed maturity securities, asset-backed securities</w:t>
            </w:r>
          </w:p>
        </w:tc>
        <w:tc>
          <w:tcPr>
            <w:tcW w:w="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w:t>
            </w:r>
          </w:p>
        </w:tc>
      </w:tr>
      <w:tr>
        <w:trPr>
          <w:trHeight w:val="159"/>
        </w:trPr>
        <w:tc>
          <w:tcPr>
            <w:tcW w:w="9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Direct Lending</w:t>
            </w:r>
          </w:p>
        </w:tc>
        <w:tc>
          <w:tcPr>
            <w:tcW w:w="26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1,199</w:t>
            </w:r>
          </w:p>
        </w:tc>
      </w:tr>
      <w:tr>
        <w:trPr>
          <w:trHeight w:val="156"/>
        </w:trPr>
        <w:tc>
          <w:tcPr>
            <w:tcW w:w="92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4,242</w:t>
            </w: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Concurrent with the purchase agreement for a prior year acquisition, we executed a separate loan agreement with the sellers for us to lend up to $40 million The loan matures on August 5, 2027. The principal balance outstanding as of December 31, 2025 and 2024 was $24 million and $11 million, respectively. The balance is included in Prepaid expenses and other assets on the Consolidated Balance Sheets. Changes in fair value are reported within Recognized gains and losses, net in the Consolidated Statements of Earnings. Interest income is recorded in Interest and investment income in the Consolidated Statements of Earnings and recognized when earned. The remainder of the unfunded loan commitment is included in the unfunded commitments table above in the “Other assets” line item. Refer to Note C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xml:space="preserve"> for information regarding the fair value calculation of this loan receivable.</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Contingent Consideration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 xml:space="preserve">Under the terms of the purchase agreement for a prior year acquisition, we have agreed to make cash payments of up to approximately $90 million over a three-year period upon the achievement by the acquiree of certain EBITDA milestones. The contingent consideration is recorded at fair value in Accounts payable and accrued liabilities on the Consolidated Balance Sheets. Refer to Note C </w:t>
      </w:r>
      <w:r>
        <w:rPr>
          <w:rFonts w:ascii="Times New Roman" w:cs="Times New Roman" w:eastAsia="Times New Roman" w:hAnsi="Times New Roman"/>
          <w:sz w:val="14"/>
          <w:szCs w:val="14"/>
          <w:i w:val="1"/>
          <w:iCs w:val="1"/>
          <w:color w:val="auto"/>
        </w:rPr>
        <w:t xml:space="preserve">Fair Value of Financial Instruments </w:t>
      </w:r>
      <w:r>
        <w:rPr>
          <w:rFonts w:ascii="Times New Roman" w:cs="Times New Roman" w:eastAsia="Times New Roman" w:hAnsi="Times New Roman"/>
          <w:sz w:val="14"/>
          <w:szCs w:val="14"/>
          <w:color w:val="auto"/>
        </w:rPr>
        <w:t>for more information regarding the fair value of the contingent consideration.</w:t>
      </w:r>
    </w:p>
    <w:p>
      <w:pPr>
        <w:spacing w:after="0" w:line="49"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color w:val="auto"/>
        </w:rPr>
        <w:t xml:space="preserve">See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for discussion of funding agreements that have been issued pursuant to the FABN Program as well as to the FHLB that are included in Contractholder funds.</w:t>
      </w:r>
    </w:p>
    <w:p>
      <w:pPr>
        <w:spacing w:after="0" w:line="37"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The Company has a reinsurance agreement with Kubera to cede certain FIA statutory reserves on a coinsurance funds withheld basis, net of applicable existing reinsurance. To enhance Kubera's ability to pay its obligations under the amended reinsurance agreement, effective October 31, 2021, F&amp;G entered into a Variable Note Purchase Agreement (the “NPA”), whereby F&amp;G agreed to fund a note to Kubera to be used to ultimately settle with F&amp;G, with principal increases up to a maximum amount of $435 million, to the extent a potential funding shortfall (treaty assets are less than the total funding requirement) is projected relative to the business ceded to Kubera from F&amp;G as part of the amended reinsurance agreement. The potential funding shortfall will be determined quarterly and, among other items, is impacted by the market value of the assets in the funds withheld account related to the reinsurance agreement and Kubera's capital as calculated on a Bermuda regulatory basis. The NPA matures on November 30, 2071. Based on the current level of the treaty assets and projections that these policies will be profitable over the lifetime of the agreement, we do not expect significant fundings to occur under the NPA. As of December 31, 2025 and 2024, the amount funded under the NPA was insignificant.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H — 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February 19, 2026, our Board of Directors declared cash dividends of $0.52 per share, payable on March 31, 2026, to FNF common shareholders of record as of March 17, 2026.</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the years ended December 31, 2025, 2024 and 2023, we declared dividends on our common stock of $2.02, $1.94 and $1.83,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I — Segment Information</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tables below summarize the result of operations by segment that are provided to the Chief Operating Decision Maker ("CODM"), who is the Company's Chief Executive Officer. The Company's primary methods of measuring profitability and performance on a reportable segment basis are Revenues and Net earnings from continuing operations which are also measures used by the CODM to evaluate segment results and are factors in determining capital allocation among the segments.</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Summarized financial information concerning our reportable segments is shown in the following tables. The significant expense categories and amounts align with the segment-level information that is regularly provided to the CODM.</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2025:</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F&amp;G</w:t>
            </w:r>
          </w:p>
        </w:tc>
        <w:tc>
          <w:tcPr>
            <w:tcW w:w="120" w:type="dxa"/>
            <w:vAlign w:val="bottom"/>
          </w:tcPr>
          <w:p>
            <w:pPr>
              <w:spacing w:after="0"/>
              <w:rPr>
                <w:sz w:val="11"/>
                <w:szCs w:val="11"/>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Corporate and</w:t>
            </w:r>
          </w:p>
        </w:tc>
        <w:tc>
          <w:tcPr>
            <w:tcW w:w="14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Elimination</w:t>
            </w:r>
          </w:p>
        </w:tc>
        <w:tc>
          <w:tcPr>
            <w:tcW w:w="200" w:type="dxa"/>
            <w:vAlign w:val="bottom"/>
          </w:tcPr>
          <w:p>
            <w:pPr>
              <w:spacing w:after="0"/>
              <w:rPr>
                <w:sz w:val="11"/>
                <w:szCs w:val="11"/>
                <w:color w:val="auto"/>
              </w:rPr>
            </w:pP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7"/>
        </w:trPr>
        <w:tc>
          <w:tcPr>
            <w:tcW w:w="62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Segment revenues:</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2,574</w:t>
            </w: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3,250</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Escrow, title related and other fees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2,381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5,444</w:t>
            </w: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3,237</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w:t>
            </w:r>
          </w:p>
        </w:tc>
        <w:tc>
          <w:tcPr>
            <w:tcW w:w="0" w:type="dxa"/>
            <w:vAlign w:val="bottom"/>
          </w:tcPr>
          <w:p>
            <w:pPr>
              <w:spacing w:after="0"/>
              <w:rPr>
                <w:sz w:val="1"/>
                <w:szCs w:val="1"/>
                <w:color w:val="auto"/>
              </w:rPr>
            </w:pPr>
          </w:p>
        </w:tc>
      </w:tr>
      <w:tr>
        <w:trPr>
          <w:trHeight w:val="145"/>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segment revenues</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5,731</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14,445</w:t>
            </w:r>
          </w:p>
        </w:tc>
        <w:tc>
          <w:tcPr>
            <w:tcW w:w="0" w:type="dxa"/>
            <w:vAlign w:val="bottom"/>
          </w:tcPr>
          <w:p>
            <w:pPr>
              <w:spacing w:after="0"/>
              <w:rPr>
                <w:sz w:val="1"/>
                <w:szCs w:val="1"/>
                <w:color w:val="auto"/>
              </w:rPr>
            </w:pPr>
          </w:p>
        </w:tc>
      </w:tr>
      <w:tr>
        <w:trPr>
          <w:trHeight w:val="14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Significant segment expenses:</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3,437</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2,518</w:t>
            </w: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1,615</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6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3,963</w:t>
            </w:r>
          </w:p>
        </w:tc>
        <w:tc>
          <w:tcPr>
            <w:tcW w:w="0" w:type="dxa"/>
            <w:vAlign w:val="bottom"/>
          </w:tcPr>
          <w:p>
            <w:pPr>
              <w:spacing w:after="0"/>
              <w:rPr>
                <w:sz w:val="1"/>
                <w:szCs w:val="1"/>
                <w:color w:val="auto"/>
              </w:rPr>
            </w:pPr>
          </w:p>
        </w:tc>
      </w:tr>
      <w:tr>
        <w:trPr>
          <w:trHeight w:val="145"/>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significant segment expenses</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6,854</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4,412</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11,533</w:t>
            </w:r>
          </w:p>
        </w:tc>
        <w:tc>
          <w:tcPr>
            <w:tcW w:w="0" w:type="dxa"/>
            <w:vAlign w:val="bottom"/>
          </w:tcPr>
          <w:p>
            <w:pPr>
              <w:spacing w:after="0"/>
              <w:rPr>
                <w:sz w:val="1"/>
                <w:szCs w:val="1"/>
                <w:color w:val="auto"/>
              </w:rPr>
            </w:pPr>
          </w:p>
        </w:tc>
      </w:tr>
      <w:tr>
        <w:trPr>
          <w:trHeight w:val="14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segment items:</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6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844</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262</w:t>
            </w:r>
          </w:p>
        </w:tc>
        <w:tc>
          <w:tcPr>
            <w:tcW w:w="0" w:type="dxa"/>
            <w:vAlign w:val="bottom"/>
          </w:tcPr>
          <w:p>
            <w:pPr>
              <w:spacing w:after="0"/>
              <w:rPr>
                <w:sz w:val="1"/>
                <w:szCs w:val="1"/>
                <w:color w:val="auto"/>
              </w:rPr>
            </w:pP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 gains</w:t>
            </w:r>
          </w:p>
        </w:tc>
        <w:tc>
          <w:tcPr>
            <w:tcW w:w="62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167</w:t>
            </w:r>
          </w:p>
        </w:tc>
        <w:tc>
          <w:tcPr>
            <w:tcW w:w="0" w:type="dxa"/>
            <w:vAlign w:val="bottom"/>
          </w:tcPr>
          <w:p>
            <w:pPr>
              <w:spacing w:after="0"/>
              <w:rPr>
                <w:sz w:val="1"/>
                <w:szCs w:val="1"/>
                <w:color w:val="auto"/>
              </w:rPr>
            </w:pPr>
          </w:p>
        </w:tc>
      </w:tr>
      <w:tr>
        <w:trPr>
          <w:trHeight w:val="15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6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242</w:t>
            </w:r>
          </w:p>
        </w:tc>
        <w:tc>
          <w:tcPr>
            <w:tcW w:w="0" w:type="dxa"/>
            <w:vAlign w:val="bottom"/>
          </w:tcPr>
          <w:p>
            <w:pPr>
              <w:spacing w:after="0"/>
              <w:rPr>
                <w:sz w:val="1"/>
                <w:szCs w:val="1"/>
                <w:color w:val="auto"/>
              </w:rPr>
            </w:pPr>
          </w:p>
        </w:tc>
      </w:tr>
      <w:tr>
        <w:trPr>
          <w:trHeight w:val="145"/>
        </w:trPr>
        <w:tc>
          <w:tcPr>
            <w:tcW w:w="6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Total other segment items</w:t>
            </w:r>
          </w:p>
        </w:tc>
        <w:tc>
          <w:tcPr>
            <w:tcW w:w="6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1,515</w:t>
            </w:r>
          </w:p>
        </w:tc>
        <w:tc>
          <w:tcPr>
            <w:tcW w:w="0" w:type="dxa"/>
            <w:vAlign w:val="bottom"/>
          </w:tcPr>
          <w:p>
            <w:pPr>
              <w:spacing w:after="0"/>
              <w:rPr>
                <w:sz w:val="1"/>
                <w:szCs w:val="1"/>
                <w:color w:val="auto"/>
              </w:rPr>
            </w:pPr>
          </w:p>
        </w:tc>
      </w:tr>
      <w:tr>
        <w:trPr>
          <w:trHeight w:val="155"/>
        </w:trPr>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segment expenses</w:t>
            </w:r>
          </w:p>
        </w:tc>
        <w:tc>
          <w:tcPr>
            <w:tcW w:w="62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13,048</w:t>
            </w:r>
          </w:p>
        </w:tc>
        <w:tc>
          <w:tcPr>
            <w:tcW w:w="0" w:type="dxa"/>
            <w:vAlign w:val="bottom"/>
          </w:tcPr>
          <w:p>
            <w:pPr>
              <w:spacing w:after="0"/>
              <w:rPr>
                <w:sz w:val="1"/>
                <w:szCs w:val="1"/>
                <w:color w:val="auto"/>
              </w:rPr>
            </w:pPr>
          </w:p>
        </w:tc>
      </w:tr>
      <w:tr>
        <w:trPr>
          <w:trHeight w:val="145"/>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1,397</w:t>
            </w:r>
          </w:p>
        </w:tc>
        <w:tc>
          <w:tcPr>
            <w:tcW w:w="0" w:type="dxa"/>
            <w:vAlign w:val="bottom"/>
          </w:tcPr>
          <w:p>
            <w:pPr>
              <w:spacing w:after="0"/>
              <w:rPr>
                <w:sz w:val="1"/>
                <w:szCs w:val="1"/>
                <w:color w:val="auto"/>
              </w:rPr>
            </w:pPr>
          </w:p>
        </w:tc>
      </w:tr>
      <w:tr>
        <w:trPr>
          <w:trHeight w:val="164"/>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753</w:t>
            </w:r>
          </w:p>
        </w:tc>
        <w:tc>
          <w:tcPr>
            <w:tcW w:w="0" w:type="dxa"/>
            <w:vAlign w:val="bottom"/>
          </w:tcPr>
          <w:p>
            <w:pPr>
              <w:spacing w:after="0"/>
              <w:rPr>
                <w:sz w:val="1"/>
                <w:szCs w:val="1"/>
                <w:color w:val="auto"/>
              </w:rPr>
            </w:pPr>
          </w:p>
        </w:tc>
      </w:tr>
      <w:tr>
        <w:trPr>
          <w:trHeight w:val="145"/>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(loss) of unconsolidated affiliates</w:t>
            </w:r>
          </w:p>
        </w:tc>
        <w:tc>
          <w:tcPr>
            <w:tcW w:w="6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944</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644</w:t>
            </w:r>
          </w:p>
        </w:tc>
        <w:tc>
          <w:tcPr>
            <w:tcW w:w="0" w:type="dxa"/>
            <w:vAlign w:val="bottom"/>
          </w:tcPr>
          <w:p>
            <w:pPr>
              <w:spacing w:after="0"/>
              <w:rPr>
                <w:sz w:val="1"/>
                <w:szCs w:val="1"/>
                <w:color w:val="auto"/>
              </w:rPr>
            </w:pPr>
          </w:p>
        </w:tc>
      </w:tr>
      <w:tr>
        <w:trPr>
          <w:trHeight w:val="15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w:t>
            </w:r>
          </w:p>
        </w:tc>
        <w:tc>
          <w:tcPr>
            <w:tcW w:w="0" w:type="dxa"/>
            <w:vAlign w:val="bottom"/>
          </w:tcPr>
          <w:p>
            <w:pPr>
              <w:spacing w:after="0"/>
              <w:rPr>
                <w:sz w:val="1"/>
                <w:szCs w:val="1"/>
                <w:color w:val="auto"/>
              </w:rPr>
            </w:pPr>
          </w:p>
        </w:tc>
      </w:tr>
      <w:tr>
        <w:trPr>
          <w:trHeight w:val="155"/>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 from continuing operations</w:t>
            </w:r>
          </w:p>
        </w:tc>
        <w:tc>
          <w:tcPr>
            <w:tcW w:w="62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983</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679</w:t>
            </w:r>
          </w:p>
        </w:tc>
        <w:tc>
          <w:tcPr>
            <w:tcW w:w="0" w:type="dxa"/>
            <w:vAlign w:val="bottom"/>
          </w:tcPr>
          <w:p>
            <w:pPr>
              <w:spacing w:after="0"/>
              <w:rPr>
                <w:sz w:val="1"/>
                <w:szCs w:val="1"/>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8,093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109,014</w:t>
            </w:r>
          </w:p>
        </w:tc>
        <w:tc>
          <w:tcPr>
            <w:tcW w:w="0" w:type="dxa"/>
            <w:vAlign w:val="bottom"/>
          </w:tcPr>
          <w:p>
            <w:pPr>
              <w:spacing w:after="0"/>
              <w:rPr>
                <w:sz w:val="1"/>
                <w:szCs w:val="1"/>
                <w:color w:val="auto"/>
              </w:rPr>
            </w:pPr>
          </w:p>
        </w:tc>
      </w:tr>
      <w:tr>
        <w:trPr>
          <w:trHeight w:val="149"/>
        </w:trPr>
        <w:tc>
          <w:tcPr>
            <w:tcW w:w="6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and for the year ended December 31, 2024:</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F&amp;G</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Corporate and</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color w:val="auto"/>
              </w:rPr>
              <w:t>Elimination</w:t>
            </w:r>
          </w:p>
        </w:tc>
        <w:tc>
          <w:tcPr>
            <w:tcW w:w="200" w:type="dxa"/>
            <w:vAlign w:val="bottom"/>
          </w:tcPr>
          <w:p>
            <w:pPr>
              <w:spacing w:after="0"/>
              <w:rPr>
                <w:sz w:val="11"/>
                <w:szCs w:val="11"/>
                <w:color w:val="auto"/>
              </w:rPr>
            </w:pPr>
          </w:p>
        </w:tc>
        <w:tc>
          <w:tcPr>
            <w:tcW w:w="70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7"/>
        </w:trPr>
        <w:tc>
          <w:tcPr>
            <w:tcW w:w="64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Segment revenues:</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2,200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2,200</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2,953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2,953</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Escrow, title related and other fees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2,196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5,321</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3,124</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83</w:t>
            </w:r>
          </w:p>
        </w:tc>
        <w:tc>
          <w:tcPr>
            <w:tcW w:w="0" w:type="dxa"/>
            <w:vAlign w:val="bottom"/>
          </w:tcPr>
          <w:p>
            <w:pPr>
              <w:spacing w:after="0"/>
              <w:rPr>
                <w:sz w:val="1"/>
                <w:szCs w:val="1"/>
                <w:color w:val="auto"/>
              </w:rPr>
            </w:pPr>
          </w:p>
        </w:tc>
      </w:tr>
      <w:tr>
        <w:trPr>
          <w:trHeight w:val="14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segment revenues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7,702</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5,744</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343</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13,681</w:t>
            </w:r>
          </w:p>
        </w:tc>
        <w:tc>
          <w:tcPr>
            <w:tcW w:w="0" w:type="dxa"/>
            <w:vAlign w:val="bottom"/>
          </w:tcPr>
          <w:p>
            <w:pPr>
              <w:spacing w:after="0"/>
              <w:rPr>
                <w:sz w:val="1"/>
                <w:szCs w:val="1"/>
                <w:color w:val="auto"/>
              </w:rPr>
            </w:pPr>
          </w:p>
        </w:tc>
      </w:tr>
      <w:tr>
        <w:trPr>
          <w:trHeight w:val="14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Significant segment expenses: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2,695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3,148</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2,287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2,287</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1,251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1,558</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5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3,791</w:t>
            </w:r>
          </w:p>
        </w:tc>
        <w:tc>
          <w:tcPr>
            <w:tcW w:w="0" w:type="dxa"/>
            <w:vAlign w:val="bottom"/>
          </w:tcPr>
          <w:p>
            <w:pPr>
              <w:spacing w:after="0"/>
              <w:rPr>
                <w:sz w:val="1"/>
                <w:szCs w:val="1"/>
                <w:color w:val="auto"/>
              </w:rPr>
            </w:pPr>
          </w:p>
        </w:tc>
      </w:tr>
      <w:tr>
        <w:trPr>
          <w:trHeight w:val="14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significant segment expenses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6"/>
              </w:rPr>
              <w:t>6,233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4,290</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10,784</w:t>
            </w:r>
          </w:p>
        </w:tc>
        <w:tc>
          <w:tcPr>
            <w:tcW w:w="0" w:type="dxa"/>
            <w:vAlign w:val="bottom"/>
          </w:tcPr>
          <w:p>
            <w:pPr>
              <w:spacing w:after="0"/>
              <w:rPr>
                <w:sz w:val="1"/>
                <w:szCs w:val="1"/>
                <w:color w:val="auto"/>
              </w:rPr>
            </w:pPr>
          </w:p>
        </w:tc>
      </w:tr>
      <w:tr>
        <w:trPr>
          <w:trHeight w:val="14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segment items:</w:t>
            </w: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580" w:type="dxa"/>
            <w:vAlign w:val="bottom"/>
          </w:tcPr>
          <w:p>
            <w:pPr>
              <w:spacing w:after="0"/>
              <w:rPr>
                <w:sz w:val="13"/>
                <w:szCs w:val="13"/>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739</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title claim losses</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232</w:t>
            </w:r>
          </w:p>
        </w:tc>
        <w:tc>
          <w:tcPr>
            <w:tcW w:w="0" w:type="dxa"/>
            <w:vAlign w:val="bottom"/>
          </w:tcPr>
          <w:p>
            <w:pPr>
              <w:spacing w:after="0"/>
              <w:rPr>
                <w:sz w:val="1"/>
                <w:szCs w:val="1"/>
                <w:color w:val="auto"/>
              </w:rPr>
            </w:pPr>
          </w:p>
        </w:tc>
      </w:tr>
      <w:tr>
        <w:trPr>
          <w:trHeight w:val="154"/>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 losses</w:t>
            </w:r>
          </w:p>
        </w:tc>
        <w:tc>
          <w:tcPr>
            <w:tcW w:w="5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(25)</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5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209</w:t>
            </w:r>
          </w:p>
        </w:tc>
        <w:tc>
          <w:tcPr>
            <w:tcW w:w="0" w:type="dxa"/>
            <w:vAlign w:val="bottom"/>
          </w:tcPr>
          <w:p>
            <w:pPr>
              <w:spacing w:after="0"/>
              <w:rPr>
                <w:sz w:val="1"/>
                <w:szCs w:val="1"/>
                <w:color w:val="auto"/>
              </w:rPr>
            </w:pPr>
          </w:p>
        </w:tc>
      </w:tr>
      <w:tr>
        <w:trPr>
          <w:trHeight w:val="145"/>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other segment items</w:t>
            </w:r>
          </w:p>
        </w:tc>
        <w:tc>
          <w:tcPr>
            <w:tcW w:w="5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373</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676</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1,155</w:t>
            </w:r>
          </w:p>
        </w:tc>
        <w:tc>
          <w:tcPr>
            <w:tcW w:w="0" w:type="dxa"/>
            <w:vAlign w:val="bottom"/>
          </w:tcPr>
          <w:p>
            <w:pPr>
              <w:spacing w:after="0"/>
              <w:rPr>
                <w:sz w:val="1"/>
                <w:szCs w:val="1"/>
                <w:color w:val="auto"/>
              </w:rPr>
            </w:pPr>
          </w:p>
        </w:tc>
      </w:tr>
      <w:tr>
        <w:trPr>
          <w:trHeight w:val="155"/>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segment expense</w:t>
            </w:r>
          </w:p>
        </w:tc>
        <w:tc>
          <w:tcPr>
            <w:tcW w:w="5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6,606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4,966</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11,939</w:t>
            </w:r>
          </w:p>
        </w:tc>
        <w:tc>
          <w:tcPr>
            <w:tcW w:w="0" w:type="dxa"/>
            <w:vAlign w:val="bottom"/>
          </w:tcPr>
          <w:p>
            <w:pPr>
              <w:spacing w:after="0"/>
              <w:rPr>
                <w:sz w:val="1"/>
                <w:szCs w:val="1"/>
                <w:color w:val="auto"/>
              </w:rPr>
            </w:pPr>
          </w:p>
        </w:tc>
      </w:tr>
      <w:tr>
        <w:trPr>
          <w:trHeight w:val="145"/>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580" w:type="dxa"/>
            <w:vAlign w:val="bottom"/>
          </w:tcPr>
          <w:p>
            <w:pPr>
              <w:spacing w:after="0"/>
              <w:rPr>
                <w:sz w:val="12"/>
                <w:szCs w:val="12"/>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1,096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1,742</w:t>
            </w:r>
          </w:p>
        </w:tc>
        <w:tc>
          <w:tcPr>
            <w:tcW w:w="0" w:type="dxa"/>
            <w:vAlign w:val="bottom"/>
          </w:tcPr>
          <w:p>
            <w:pPr>
              <w:spacing w:after="0"/>
              <w:rPr>
                <w:sz w:val="1"/>
                <w:szCs w:val="1"/>
                <w:color w:val="auto"/>
              </w:rPr>
            </w:pPr>
          </w:p>
        </w:tc>
      </w:tr>
      <w:tr>
        <w:trPr>
          <w:trHeight w:val="16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367</w:t>
            </w:r>
          </w:p>
        </w:tc>
        <w:tc>
          <w:tcPr>
            <w:tcW w:w="0" w:type="dxa"/>
            <w:vAlign w:val="bottom"/>
          </w:tcPr>
          <w:p>
            <w:pPr>
              <w:spacing w:after="0"/>
              <w:rPr>
                <w:sz w:val="1"/>
                <w:szCs w:val="1"/>
                <w:color w:val="auto"/>
              </w:rPr>
            </w:pPr>
          </w:p>
        </w:tc>
      </w:tr>
      <w:tr>
        <w:trPr>
          <w:trHeight w:val="145"/>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of unconsolidated affiliates</w:t>
            </w: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831</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1,375</w:t>
            </w:r>
          </w:p>
        </w:tc>
        <w:tc>
          <w:tcPr>
            <w:tcW w:w="0" w:type="dxa"/>
            <w:vAlign w:val="bottom"/>
          </w:tcPr>
          <w:p>
            <w:pPr>
              <w:spacing w:after="0"/>
              <w:rPr>
                <w:sz w:val="1"/>
                <w:szCs w:val="1"/>
                <w:color w:val="auto"/>
              </w:rPr>
            </w:pPr>
          </w:p>
        </w:tc>
      </w:tr>
      <w:tr>
        <w:trPr>
          <w:trHeight w:val="15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w:t>
            </w:r>
          </w:p>
        </w:tc>
        <w:tc>
          <w:tcPr>
            <w:tcW w:w="0" w:type="dxa"/>
            <w:vAlign w:val="bottom"/>
          </w:tcPr>
          <w:p>
            <w:pPr>
              <w:spacing w:after="0"/>
              <w:rPr>
                <w:sz w:val="1"/>
                <w:szCs w:val="1"/>
                <w:color w:val="auto"/>
              </w:rPr>
            </w:pPr>
          </w:p>
        </w:tc>
      </w:tr>
      <w:tr>
        <w:trPr>
          <w:trHeight w:val="155"/>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58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847</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1,391</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58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6"/>
              </w:rPr>
              <w:t>7,627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84,938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95,263</w:t>
            </w:r>
          </w:p>
        </w:tc>
        <w:tc>
          <w:tcPr>
            <w:tcW w:w="0" w:type="dxa"/>
            <w:vAlign w:val="bottom"/>
          </w:tcPr>
          <w:p>
            <w:pPr>
              <w:spacing w:after="0"/>
              <w:rPr>
                <w:sz w:val="1"/>
                <w:szCs w:val="1"/>
                <w:color w:val="auto"/>
              </w:rPr>
            </w:pPr>
          </w:p>
        </w:tc>
      </w:tr>
      <w:tr>
        <w:trPr>
          <w:trHeight w:val="149"/>
        </w:trPr>
        <w:tc>
          <w:tcPr>
            <w:tcW w:w="6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580" w:type="dxa"/>
            <w:vAlign w:val="bottom"/>
          </w:tcPr>
          <w:p>
            <w:pPr>
              <w:spacing w:after="0"/>
              <w:rPr>
                <w:sz w:val="12"/>
                <w:szCs w:val="12"/>
                <w:color w:val="auto"/>
              </w:rPr>
            </w:pPr>
          </w:p>
        </w:tc>
        <w:tc>
          <w:tcPr>
            <w:tcW w:w="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96"/>
              </w:rPr>
              <w:t>2,799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and for the year ended December 31, 2023:</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Title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F&amp;G</w:t>
            </w:r>
          </w:p>
        </w:tc>
        <w:tc>
          <w:tcPr>
            <w:tcW w:w="100" w:type="dxa"/>
            <w:vAlign w:val="bottom"/>
          </w:tcPr>
          <w:p>
            <w:pPr>
              <w:spacing w:after="0"/>
              <w:rPr>
                <w:sz w:val="11"/>
                <w:szCs w:val="11"/>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Corporate and</w:t>
            </w:r>
          </w:p>
        </w:tc>
        <w:tc>
          <w:tcPr>
            <w:tcW w:w="14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Elimination</w:t>
            </w:r>
          </w:p>
        </w:tc>
        <w:tc>
          <w:tcPr>
            <w:tcW w:w="200" w:type="dxa"/>
            <w:vAlign w:val="bottom"/>
          </w:tcPr>
          <w:p>
            <w:pPr>
              <w:spacing w:after="0"/>
              <w:rPr>
                <w:sz w:val="11"/>
                <w:szCs w:val="11"/>
                <w:color w:val="auto"/>
              </w:rPr>
            </w:pPr>
          </w:p>
        </w:tc>
        <w:tc>
          <w:tcPr>
            <w:tcW w:w="70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7"/>
        </w:trPr>
        <w:tc>
          <w:tcPr>
            <w:tcW w:w="6360" w:type="dxa"/>
            <w:vAlign w:val="bottom"/>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Other</w:t>
            </w: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Segment revenues:</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58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1,982</w:t>
            </w: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58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2,610</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Escrow, title related and other fees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4,717</w:t>
            </w: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58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2,607</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(164)</w:t>
            </w:r>
          </w:p>
        </w:tc>
        <w:tc>
          <w:tcPr>
            <w:tcW w:w="0" w:type="dxa"/>
            <w:vAlign w:val="bottom"/>
          </w:tcPr>
          <w:p>
            <w:pPr>
              <w:spacing w:after="0"/>
              <w:rPr>
                <w:sz w:val="1"/>
                <w:szCs w:val="1"/>
                <w:color w:val="auto"/>
              </w:rPr>
            </w:pPr>
          </w:p>
        </w:tc>
      </w:tr>
      <w:tr>
        <w:trPr>
          <w:trHeight w:val="14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segment revenues</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7,038</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279</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11,752</w:t>
            </w:r>
          </w:p>
        </w:tc>
        <w:tc>
          <w:tcPr>
            <w:tcW w:w="0" w:type="dxa"/>
            <w:vAlign w:val="bottom"/>
          </w:tcPr>
          <w:p>
            <w:pPr>
              <w:spacing w:after="0"/>
              <w:rPr>
                <w:sz w:val="1"/>
                <w:szCs w:val="1"/>
                <w:color w:val="auto"/>
              </w:rPr>
            </w:pPr>
          </w:p>
        </w:tc>
      </w:tr>
      <w:tr>
        <w:trPr>
          <w:trHeight w:val="14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Significant segment expenses: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Personnel costs</w:t>
            </w:r>
          </w:p>
        </w:tc>
        <w:tc>
          <w:tcPr>
            <w:tcW w:w="58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2,544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2,908</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Agent commissions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2,008</w:t>
            </w: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58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1,521</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and other changes in policy reserves</w:t>
            </w:r>
          </w:p>
        </w:tc>
        <w:tc>
          <w:tcPr>
            <w:tcW w:w="5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3,553</w:t>
            </w:r>
          </w:p>
        </w:tc>
        <w:tc>
          <w:tcPr>
            <w:tcW w:w="0" w:type="dxa"/>
            <w:vAlign w:val="bottom"/>
          </w:tcPr>
          <w:p>
            <w:pPr>
              <w:spacing w:after="0"/>
              <w:rPr>
                <w:sz w:val="1"/>
                <w:szCs w:val="1"/>
                <w:color w:val="auto"/>
              </w:rPr>
            </w:pPr>
          </w:p>
        </w:tc>
      </w:tr>
      <w:tr>
        <w:trPr>
          <w:trHeight w:val="144"/>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significant segment expenses</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5,794</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3,931</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left="503"/>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9,990</w:t>
            </w:r>
          </w:p>
        </w:tc>
        <w:tc>
          <w:tcPr>
            <w:tcW w:w="0" w:type="dxa"/>
            <w:vAlign w:val="bottom"/>
          </w:tcPr>
          <w:p>
            <w:pPr>
              <w:spacing w:after="0"/>
              <w:rPr>
                <w:sz w:val="1"/>
                <w:szCs w:val="1"/>
                <w:color w:val="auto"/>
              </w:rPr>
            </w:pPr>
          </w:p>
        </w:tc>
      </w:tr>
      <w:tr>
        <w:trPr>
          <w:trHeight w:val="14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segment items: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58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593</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Provision for title claims losses</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w:t>
            </w:r>
          </w:p>
        </w:tc>
        <w:tc>
          <w:tcPr>
            <w:tcW w:w="0" w:type="dxa"/>
            <w:vAlign w:val="bottom"/>
          </w:tcPr>
          <w:p>
            <w:pPr>
              <w:spacing w:after="0"/>
              <w:rPr>
                <w:sz w:val="1"/>
                <w:szCs w:val="1"/>
                <w:color w:val="auto"/>
              </w:rPr>
            </w:pPr>
          </w:p>
        </w:tc>
      </w:tr>
      <w:tr>
        <w:trPr>
          <w:trHeight w:val="154"/>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Market risk benefit gains</w:t>
            </w:r>
          </w:p>
        </w:tc>
        <w:tc>
          <w:tcPr>
            <w:tcW w:w="58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880" w:type="dxa"/>
            <w:vAlign w:val="bottom"/>
            <w:gridSpan w:val="2"/>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95</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5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w:t>
            </w:r>
          </w:p>
        </w:tc>
        <w:tc>
          <w:tcPr>
            <w:tcW w:w="0" w:type="dxa"/>
            <w:vAlign w:val="bottom"/>
          </w:tcPr>
          <w:p>
            <w:pPr>
              <w:spacing w:after="0"/>
              <w:rPr>
                <w:sz w:val="1"/>
                <w:szCs w:val="1"/>
                <w:color w:val="auto"/>
              </w:rPr>
            </w:pPr>
          </w:p>
        </w:tc>
      </w:tr>
      <w:tr>
        <w:trPr>
          <w:trHeight w:val="14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other segment items</w:t>
            </w:r>
          </w:p>
        </w:tc>
        <w:tc>
          <w:tcPr>
            <w:tcW w:w="5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604</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ind w:left="503"/>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1,069</w:t>
            </w:r>
          </w:p>
        </w:tc>
        <w:tc>
          <w:tcPr>
            <w:tcW w:w="0" w:type="dxa"/>
            <w:vAlign w:val="bottom"/>
          </w:tcPr>
          <w:p>
            <w:pPr>
              <w:spacing w:after="0"/>
              <w:rPr>
                <w:sz w:val="1"/>
                <w:szCs w:val="1"/>
                <w:color w:val="auto"/>
              </w:rPr>
            </w:pPr>
          </w:p>
        </w:tc>
      </w:tr>
      <w:tr>
        <w:trPr>
          <w:trHeight w:val="15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segment expenses</w:t>
            </w:r>
          </w:p>
        </w:tc>
        <w:tc>
          <w:tcPr>
            <w:tcW w:w="5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6,155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4,535</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center"/>
              <w:ind w:left="503"/>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11,059</w:t>
            </w:r>
          </w:p>
        </w:tc>
        <w:tc>
          <w:tcPr>
            <w:tcW w:w="0" w:type="dxa"/>
            <w:vAlign w:val="bottom"/>
          </w:tcPr>
          <w:p>
            <w:pPr>
              <w:spacing w:after="0"/>
              <w:rPr>
                <w:sz w:val="1"/>
                <w:szCs w:val="1"/>
                <w:color w:val="auto"/>
              </w:rPr>
            </w:pPr>
          </w:p>
        </w:tc>
      </w:tr>
      <w:tr>
        <w:trPr>
          <w:trHeight w:val="145"/>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income taxes and equity in earnings of unconsolidated affiliates</w:t>
            </w:r>
          </w:p>
        </w:tc>
        <w:tc>
          <w:tcPr>
            <w:tcW w:w="58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left="48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693</w:t>
            </w:r>
          </w:p>
        </w:tc>
        <w:tc>
          <w:tcPr>
            <w:tcW w:w="0" w:type="dxa"/>
            <w:vAlign w:val="bottom"/>
          </w:tcPr>
          <w:p>
            <w:pPr>
              <w:spacing w:after="0"/>
              <w:rPr>
                <w:sz w:val="1"/>
                <w:szCs w:val="1"/>
                <w:color w:val="auto"/>
              </w:rPr>
            </w:pPr>
          </w:p>
        </w:tc>
      </w:tr>
      <w:tr>
        <w:trPr>
          <w:trHeight w:val="164"/>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192</w:t>
            </w:r>
          </w:p>
        </w:tc>
        <w:tc>
          <w:tcPr>
            <w:tcW w:w="0" w:type="dxa"/>
            <w:vAlign w:val="bottom"/>
          </w:tcPr>
          <w:p>
            <w:pPr>
              <w:spacing w:after="0"/>
              <w:rPr>
                <w:sz w:val="1"/>
                <w:szCs w:val="1"/>
                <w:color w:val="auto"/>
              </w:rPr>
            </w:pPr>
          </w:p>
        </w:tc>
      </w:tr>
      <w:tr>
        <w:trPr>
          <w:trHeight w:val="145"/>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(loss) before equity in earnings of unconsolidated affiliates</w:t>
            </w: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702</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501</w:t>
            </w:r>
          </w:p>
        </w:tc>
        <w:tc>
          <w:tcPr>
            <w:tcW w:w="0" w:type="dxa"/>
            <w:vAlign w:val="bottom"/>
          </w:tcPr>
          <w:p>
            <w:pPr>
              <w:spacing w:after="0"/>
              <w:rPr>
                <w:sz w:val="1"/>
                <w:szCs w:val="1"/>
                <w:color w:val="auto"/>
              </w:rPr>
            </w:pPr>
          </w:p>
        </w:tc>
      </w:tr>
      <w:tr>
        <w:trPr>
          <w:trHeight w:val="15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 earnings of unconsolidated affiliates</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w:t>
            </w:r>
          </w:p>
        </w:tc>
        <w:tc>
          <w:tcPr>
            <w:tcW w:w="0" w:type="dxa"/>
            <w:vAlign w:val="bottom"/>
          </w:tcPr>
          <w:p>
            <w:pPr>
              <w:spacing w:after="0"/>
              <w:rPr>
                <w:sz w:val="1"/>
                <w:szCs w:val="1"/>
                <w:color w:val="auto"/>
              </w:rPr>
            </w:pPr>
          </w:p>
        </w:tc>
      </w:tr>
      <w:tr>
        <w:trPr>
          <w:trHeight w:val="155"/>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 (loss)</w:t>
            </w:r>
          </w:p>
        </w:tc>
        <w:tc>
          <w:tcPr>
            <w:tcW w:w="58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719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tcPr>
          <w:p>
            <w:pPr>
              <w:jc w:val="center"/>
              <w:ind w:left="483"/>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518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Assets</w:t>
            </w:r>
          </w:p>
        </w:tc>
        <w:tc>
          <w:tcPr>
            <w:tcW w:w="58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7,949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70,186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center"/>
              <w:ind w:left="503"/>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80,614</w:t>
            </w:r>
          </w:p>
        </w:tc>
        <w:tc>
          <w:tcPr>
            <w:tcW w:w="0" w:type="dxa"/>
            <w:vAlign w:val="bottom"/>
          </w:tcPr>
          <w:p>
            <w:pPr>
              <w:spacing w:after="0"/>
              <w:rPr>
                <w:sz w:val="1"/>
                <w:szCs w:val="1"/>
                <w:color w:val="auto"/>
              </w:rPr>
            </w:pPr>
          </w:p>
        </w:tc>
      </w:tr>
      <w:tr>
        <w:trPr>
          <w:trHeight w:val="149"/>
        </w:trPr>
        <w:tc>
          <w:tcPr>
            <w:tcW w:w="63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58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2,788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left="403"/>
              <w:spacing w:after="0"/>
              <w:rPr>
                <w:sz w:val="20"/>
                <w:szCs w:val="20"/>
                <w:color w:val="auto"/>
              </w:rPr>
            </w:pPr>
            <w:r>
              <w:rPr>
                <w:rFonts w:ascii="Times New Roman" w:cs="Times New Roman" w:eastAsia="Times New Roman" w:hAnsi="Times New Roman"/>
                <w:sz w:val="11"/>
                <w:szCs w:val="11"/>
                <w:color w:val="auto"/>
                <w:w w:val="90"/>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4,830</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activities in our segments include the following:</w:t>
      </w:r>
    </w:p>
    <w:p>
      <w:pPr>
        <w:spacing w:after="0" w:line="81" w:lineRule="exact"/>
        <w:rPr>
          <w:sz w:val="20"/>
          <w:szCs w:val="20"/>
          <w:color w:val="auto"/>
        </w:rPr>
      </w:pPr>
    </w:p>
    <w:p>
      <w:pPr>
        <w:jc w:val="both"/>
        <w:ind w:left="520" w:hanging="63"/>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This segment consists of the operations of our title insurance underwriters and related businesses. This segment provides core title insurance and escrow and other title-related services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loan sub-servicing, valuations, default services and home warranty.</w:t>
      </w:r>
    </w:p>
    <w:p>
      <w:pPr>
        <w:spacing w:after="0" w:line="35" w:lineRule="exact"/>
        <w:rPr>
          <w:sz w:val="20"/>
          <w:szCs w:val="20"/>
          <w:color w:val="auto"/>
        </w:rPr>
      </w:pPr>
    </w:p>
    <w:p>
      <w:pPr>
        <w:jc w:val="both"/>
        <w:ind w:left="520" w:hanging="63"/>
        <w:spacing w:after="0" w:line="271" w:lineRule="auto"/>
        <w:rPr>
          <w:sz w:val="20"/>
          <w:szCs w:val="20"/>
          <w:color w:val="auto"/>
        </w:rPr>
      </w:pPr>
      <w:r>
        <w:rPr>
          <w:rFonts w:ascii="Times New Roman" w:cs="Times New Roman" w:eastAsia="Times New Roman" w:hAnsi="Times New Roman"/>
          <w:sz w:val="14"/>
          <w:szCs w:val="14"/>
          <w:i w:val="1"/>
          <w:iCs w:val="1"/>
          <w:color w:val="auto"/>
        </w:rPr>
        <w:t>F&amp;G</w:t>
      </w:r>
      <w:r>
        <w:rPr>
          <w:rFonts w:ascii="Times New Roman" w:cs="Times New Roman" w:eastAsia="Times New Roman" w:hAnsi="Times New Roman"/>
          <w:sz w:val="14"/>
          <w:szCs w:val="14"/>
          <w:color w:val="auto"/>
        </w:rPr>
        <w:t>. This segment primarily consists of the operations of our annuities and life insurance related businesses. This segment issues a broad portfolio of annuity and life products,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deferred annuities (fixed indexed and fixed rate annuities), immediate annuities and indexed universal life insurance. This segment also provides funding agreements and pension risk transfer solutions.</w:t>
      </w:r>
    </w:p>
    <w:p>
      <w:pPr>
        <w:spacing w:after="0" w:line="49" w:lineRule="exact"/>
        <w:rPr>
          <w:sz w:val="20"/>
          <w:szCs w:val="20"/>
          <w:color w:val="auto"/>
        </w:rPr>
      </w:pPr>
    </w:p>
    <w:p>
      <w:pPr>
        <w:jc w:val="both"/>
        <w:ind w:left="520" w:hanging="63"/>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Corporate and Other. </w:t>
      </w:r>
      <w:r>
        <w:rPr>
          <w:rFonts w:ascii="Times New Roman" w:cs="Times New Roman" w:eastAsia="Times New Roman" w:hAnsi="Times New Roman"/>
          <w:sz w:val="14"/>
          <w:szCs w:val="14"/>
          <w:color w:val="auto"/>
        </w:rPr>
        <w:t>This segment consists of the operations of the parent holding company, our real estate technology subsidiaries and our remaining real estate brokerage businesses.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segment also includes certain other unallocated corporate overhead expenses and eliminations of revenues and expenses between it and our Title segment.</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Refer to Note K </w:t>
      </w:r>
      <w:r>
        <w:rPr>
          <w:rFonts w:ascii="Times New Roman" w:cs="Times New Roman" w:eastAsia="Times New Roman" w:hAnsi="Times New Roman"/>
          <w:sz w:val="14"/>
          <w:szCs w:val="14"/>
          <w:i w:val="1"/>
          <w:iCs w:val="1"/>
          <w:color w:val="auto"/>
        </w:rPr>
        <w:t>Revenue Recognition</w:t>
      </w:r>
      <w:r>
        <w:rPr>
          <w:rFonts w:ascii="Times New Roman" w:cs="Times New Roman" w:eastAsia="Times New Roman" w:hAnsi="Times New Roman"/>
          <w:sz w:val="14"/>
          <w:szCs w:val="14"/>
          <w:color w:val="auto"/>
        </w:rPr>
        <w:t xml:space="preserve"> for a description of our accounting for our various revenue streams.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J — Supplemental Cash Flow Information</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supplemental cash flow information is provided with respect to certain cash payment and non-cash investing and financing activities.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4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50"/>
        </w:trPr>
        <w:tc>
          <w:tcPr>
            <w:tcW w:w="7340" w:type="dxa"/>
            <w:vAlign w:val="bottom"/>
          </w:tcPr>
          <w:p>
            <w:pPr>
              <w:spacing w:after="0"/>
              <w:rPr>
                <w:sz w:val="13"/>
                <w:szCs w:val="13"/>
                <w:color w:val="auto"/>
              </w:rPr>
            </w:pPr>
          </w:p>
        </w:tc>
        <w:tc>
          <w:tcPr>
            <w:tcW w:w="8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4"/>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w:t>
            </w: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w:t>
            </w:r>
          </w:p>
        </w:tc>
        <w:tc>
          <w:tcPr>
            <w:tcW w:w="8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w:t>
            </w:r>
          </w:p>
        </w:tc>
        <w:tc>
          <w:tcPr>
            <w:tcW w:w="3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w:t>
            </w:r>
          </w:p>
        </w:tc>
      </w:tr>
      <w:tr>
        <w:trPr>
          <w:trHeight w:val="153"/>
        </w:trPr>
        <w:tc>
          <w:tcPr>
            <w:tcW w:w="73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Income taxes</w:t>
            </w:r>
          </w:p>
        </w:tc>
        <w:tc>
          <w:tcPr>
            <w:tcW w:w="8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w:t>
            </w:r>
          </w:p>
        </w:tc>
      </w:tr>
      <w:tr>
        <w:trPr>
          <w:trHeight w:val="165"/>
        </w:trPr>
        <w:tc>
          <w:tcPr>
            <w:tcW w:w="7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sales inducements</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w:t>
            </w:r>
          </w:p>
        </w:tc>
      </w:tr>
      <w:tr>
        <w:trPr>
          <w:trHeight w:val="153"/>
        </w:trPr>
        <w:tc>
          <w:tcPr>
            <w:tcW w:w="7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Non-cash investing and financing activities:</w:t>
            </w: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Investments transferred subject to reinsurance agreement</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Investments received from pension risk transfer premiums</w:t>
            </w:r>
          </w:p>
        </w:tc>
        <w:tc>
          <w:tcPr>
            <w:tcW w:w="8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 in proceeds of sales of investments available for sale receivable in period</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Change in purchases of investments available for sale payable in period</w:t>
            </w:r>
          </w:p>
        </w:tc>
        <w:tc>
          <w:tcPr>
            <w:tcW w:w="8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65"/>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Lease liabilities recognized in exchange for lease right-of-use assets</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Remeasurement of lease liabilities</w:t>
            </w:r>
          </w:p>
        </w:tc>
        <w:tc>
          <w:tcPr>
            <w:tcW w:w="8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w:t>
            </w:r>
          </w:p>
        </w:tc>
      </w:tr>
      <w:tr>
        <w:trPr>
          <w:trHeight w:val="165"/>
        </w:trPr>
        <w:tc>
          <w:tcPr>
            <w:tcW w:w="7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Liabilities assumed in connection with acquisitions</w:t>
            </w:r>
          </w:p>
        </w:tc>
        <w:tc>
          <w:tcPr>
            <w:tcW w:w="8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53"/>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Fair value of assets acquired</w:t>
            </w:r>
          </w:p>
        </w:tc>
        <w:tc>
          <w:tcPr>
            <w:tcW w:w="8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w:t>
            </w:r>
          </w:p>
        </w:tc>
      </w:tr>
      <w:tr>
        <w:trPr>
          <w:trHeight w:val="165"/>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Less: Total Purchase price</w:t>
            </w:r>
          </w:p>
        </w:tc>
        <w:tc>
          <w:tcPr>
            <w:tcW w:w="8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w:t>
            </w:r>
          </w:p>
        </w:tc>
      </w:tr>
      <w:tr>
        <w:trPr>
          <w:trHeight w:val="150"/>
        </w:trPr>
        <w:tc>
          <w:tcPr>
            <w:tcW w:w="73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Liabilities and noncontrolling interests assumed</w:t>
            </w:r>
          </w:p>
        </w:tc>
        <w:tc>
          <w:tcPr>
            <w:tcW w:w="8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20"/>
        </w:trPr>
        <w:tc>
          <w:tcPr>
            <w:tcW w:w="7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K — Revenue Recognition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revenue consists of:</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6"/>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r>
      <w:tr>
        <w:trPr>
          <w:trHeight w:val="149"/>
        </w:trPr>
        <w:tc>
          <w:tcPr>
            <w:tcW w:w="4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60"/>
        </w:trPr>
        <w:tc>
          <w:tcPr>
            <w:tcW w:w="4180" w:type="dxa"/>
            <w:vAlign w:val="bottom"/>
            <w:gridSpan w:val="2"/>
          </w:tcPr>
          <w:p>
            <w:pPr>
              <w:ind w:left="1640"/>
              <w:spacing w:after="0"/>
              <w:rPr>
                <w:sz w:val="20"/>
                <w:szCs w:val="20"/>
                <w:color w:val="auto"/>
              </w:rPr>
            </w:pPr>
            <w:r>
              <w:rPr>
                <w:rFonts w:ascii="Times New Roman" w:cs="Times New Roman" w:eastAsia="Times New Roman" w:hAnsi="Times New Roman"/>
                <w:sz w:val="11"/>
                <w:szCs w:val="11"/>
                <w:b w:val="1"/>
                <w:bCs w:val="1"/>
                <w:color w:val="auto"/>
              </w:rPr>
              <w:t>Revenue Stream</w:t>
            </w:r>
          </w:p>
        </w:tc>
        <w:tc>
          <w:tcPr>
            <w:tcW w:w="266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Income Statement Classification</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Segment</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Total Revenue</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4"/>
        </w:trPr>
        <w:tc>
          <w:tcPr>
            <w:tcW w:w="4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Revenue from insurance contracts:</w:t>
            </w:r>
          </w:p>
        </w:tc>
        <w:tc>
          <w:tcPr>
            <w:tcW w:w="100" w:type="dxa"/>
            <w:vAlign w:val="bottom"/>
          </w:tcPr>
          <w:p>
            <w:pPr>
              <w:spacing w:after="0"/>
              <w:rPr>
                <w:sz w:val="13"/>
                <w:szCs w:val="13"/>
                <w:color w:val="auto"/>
              </w:rPr>
            </w:pPr>
          </w:p>
        </w:tc>
        <w:tc>
          <w:tcPr>
            <w:tcW w:w="2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64"/>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Direct title insurance premiums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1,982</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Agency title insurance premiums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2,953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2,610</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Life insurance premiums, insurance and investment product fees, and other (1)</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F&amp;G</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2,413</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Home warranty</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w:t>
            </w:r>
          </w:p>
        </w:tc>
      </w:tr>
      <w:tr>
        <w:trPr>
          <w:trHeight w:val="15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 from insurance contracts</w:t>
            </w:r>
          </w:p>
        </w:tc>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8,859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8,240</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7,148</w:t>
            </w:r>
          </w:p>
        </w:tc>
      </w:tr>
      <w:tr>
        <w:trPr>
          <w:trHeight w:val="15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Revenue from contracts with customers:</w:t>
            </w: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Escrow fees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 title-related fees and income</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ServiceLink, excluding title premiums, escrow fees, and subservicing fees</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Real estate technology</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140</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w:t>
            </w:r>
          </w:p>
        </w:tc>
      </w:tr>
      <w:tr>
        <w:trPr>
          <w:trHeight w:val="156"/>
        </w:trPr>
        <w:tc>
          <w:tcPr>
            <w:tcW w:w="4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2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1,924</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1,863</w:t>
            </w:r>
          </w:p>
        </w:tc>
      </w:tr>
      <w:tr>
        <w:trPr>
          <w:trHeight w:val="15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revenue:</w:t>
            </w:r>
          </w:p>
        </w:tc>
        <w:tc>
          <w:tcPr>
            <w:tcW w:w="2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Loan subservicing revenue</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Title</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266</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r>
      <w:tr>
        <w:trPr>
          <w:trHeight w:val="153"/>
        </w:trPr>
        <w:tc>
          <w:tcPr>
            <w:tcW w:w="41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Other</w:t>
            </w:r>
          </w:p>
        </w:tc>
        <w:tc>
          <w:tcPr>
            <w:tcW w:w="26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Escrow, title-related and other fees</w:t>
            </w:r>
          </w:p>
        </w:tc>
        <w:tc>
          <w:tcPr>
            <w:tcW w:w="1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Corporate and other</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w:t>
            </w:r>
          </w:p>
        </w:tc>
      </w:tr>
      <w:tr>
        <w:trPr>
          <w:trHeight w:val="165"/>
        </w:trPr>
        <w:tc>
          <w:tcPr>
            <w:tcW w:w="4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3,124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2,607</w:t>
            </w:r>
          </w:p>
        </w:tc>
      </w:tr>
      <w:tr>
        <w:trPr>
          <w:trHeight w:val="153"/>
        </w:trPr>
        <w:tc>
          <w:tcPr>
            <w:tcW w:w="41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2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w w:val="97"/>
              </w:rPr>
              <w:t>Various</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w:t>
            </w:r>
          </w:p>
        </w:tc>
      </w:tr>
      <w:tr>
        <w:trPr>
          <w:trHeight w:val="157"/>
        </w:trPr>
        <w:tc>
          <w:tcPr>
            <w:tcW w:w="41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Total revenues</w:t>
            </w:r>
          </w:p>
        </w:tc>
        <w:tc>
          <w:tcPr>
            <w:tcW w:w="2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9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14,445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13,681</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11,752</w:t>
            </w:r>
          </w:p>
        </w:tc>
      </w:tr>
    </w:tbl>
    <w:p>
      <w:pPr>
        <w:ind w:left="280"/>
        <w:spacing w:after="0"/>
        <w:rPr>
          <w:sz w:val="20"/>
          <w:szCs w:val="20"/>
          <w:color w:val="auto"/>
        </w:rPr>
      </w:pPr>
      <w:r>
        <w:rPr>
          <w:rFonts w:ascii="Times New Roman" w:cs="Times New Roman" w:eastAsia="Times New Roman" w:hAnsi="Times New Roman"/>
          <w:sz w:val="11"/>
          <w:szCs w:val="11"/>
          <w:color w:val="auto"/>
        </w:rPr>
        <w:t>(1) Includes $2,108, $2,217, and $1,964 of life-contingent pension risk transfer premiums in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5581650</wp:posOffset>
            </wp:positionH>
            <wp:positionV relativeFrom="paragraph">
              <wp:posOffset>-73025</wp:posOffset>
            </wp:positionV>
            <wp:extent cx="158305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583055" cy="6985"/>
                    </a:xfrm>
                    <a:prstGeom prst="rect">
                      <a:avLst/>
                    </a:prstGeom>
                    <a:noFill/>
                  </pic:spPr>
                </pic:pic>
              </a:graphicData>
            </a:graphic>
          </wp:anchor>
        </w:drawing>
      </w:r>
    </w:p>
    <w:p>
      <w:pPr>
        <w:spacing w:after="0" w:line="157"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39"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Life insurance premiums in our F&amp;G segment reflect premiums for life-contingent PRT, traditional life insurance products and life-contingent immediate annuity products, which are recognized as revenue when due from the policyholder, as well as policy rider fees primarily on indexed annuities policies, the cost of insurance on IUL policies and surrender charges assessed against policy withdrawals in excess of the policyholders' allowable penalty-free amounts. We have ceded the majority of our traditional life business to unaffiliated third-party reinsurers. While the base contract has been reinsured, we continue to retain</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left="60"/>
        <w:spacing w:after="0" w:line="287" w:lineRule="auto"/>
        <w:rPr>
          <w:sz w:val="20"/>
          <w:szCs w:val="20"/>
          <w:color w:val="auto"/>
        </w:rPr>
      </w:pPr>
      <w:r>
        <w:rPr>
          <w:rFonts w:ascii="Times New Roman" w:cs="Times New Roman" w:eastAsia="Times New Roman" w:hAnsi="Times New Roman"/>
          <w:sz w:val="14"/>
          <w:szCs w:val="14"/>
          <w:color w:val="auto"/>
        </w:rPr>
        <w:t>the return of premium rider. Other income related to riders is earned when elected by the policyholder. Surrender charges are earned when a policyholder withdraws funds from the contract early or cancels the contract.</w:t>
      </w:r>
    </w:p>
    <w:p>
      <w:pPr>
        <w:spacing w:after="0" w:line="50" w:lineRule="exact"/>
        <w:rPr>
          <w:sz w:val="20"/>
          <w:szCs w:val="20"/>
          <w:color w:val="auto"/>
        </w:rPr>
      </w:pPr>
    </w:p>
    <w:p>
      <w:pPr>
        <w:jc w:val="both"/>
        <w:ind w:left="60" w:firstLine="350"/>
        <w:spacing w:after="0" w:line="259" w:lineRule="auto"/>
        <w:rPr>
          <w:sz w:val="20"/>
          <w:szCs w:val="20"/>
          <w:color w:val="auto"/>
        </w:rPr>
      </w:pPr>
      <w:r>
        <w:rPr>
          <w:rFonts w:ascii="Times New Roman" w:cs="Times New Roman" w:eastAsia="Times New Roman" w:hAnsi="Times New Roman"/>
          <w:sz w:val="14"/>
          <w:szCs w:val="14"/>
          <w:color w:val="auto"/>
        </w:rPr>
        <w:t>Premium and annuity deposit collections for indexed annuities, fixed rate annuities, immediate annuities and PRT without life contingency, and amounts received for funding agreements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include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Premiums, annuity deposits (net of reinsurance and reinsurance recoverable) and funding agreements, which are not included as revenues in the accompanying Consolidated Statements of</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Earnings, collected by product type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Year ended</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r>
        <w:trPr>
          <w:trHeight w:val="150"/>
        </w:trPr>
        <w:tc>
          <w:tcPr>
            <w:tcW w:w="64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4"/>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Product Type</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indexed annuities</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4,738</w:t>
            </w:r>
          </w:p>
        </w:tc>
      </w:tr>
      <w:tr>
        <w:trPr>
          <w:trHeight w:val="153"/>
        </w:trPr>
        <w:tc>
          <w:tcPr>
            <w:tcW w:w="6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1,147</w:t>
            </w:r>
          </w:p>
        </w:tc>
      </w:tr>
      <w:tr>
        <w:trPr>
          <w:trHeight w:val="16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Funding agreements (FABN/FHLB)</w:t>
            </w: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1,256</w:t>
            </w:r>
          </w:p>
        </w:tc>
      </w:tr>
      <w:tr>
        <w:trPr>
          <w:trHeight w:val="153"/>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Life insurance and other (a)</w:t>
            </w: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849</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638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646</w:t>
            </w:r>
          </w:p>
        </w:tc>
      </w:tr>
      <w:tr>
        <w:trPr>
          <w:trHeight w:val="181"/>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11,575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10,147</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Life insurance and other primarily includes indexed universal life insurance.</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Real estate technology revenues are primarily comprised of subscription fees for use of software provided to real estate professionals. Revenue is recognized in the month services are provided.</w:t>
      </w:r>
    </w:p>
    <w:p>
      <w:pPr>
        <w:spacing w:after="0" w:line="94"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3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Interest and investment income consists primarily of interest payments received on fixed maturity security holdings and dividends received on equity and preferred security holdings along with the investment income of limited partnerships.</w:t>
      </w:r>
    </w:p>
    <w:p>
      <w:pPr>
        <w:spacing w:after="0" w:line="39" w:lineRule="exact"/>
        <w:rPr>
          <w:sz w:val="20"/>
          <w:szCs w:val="20"/>
          <w:color w:val="auto"/>
        </w:rPr>
      </w:pPr>
    </w:p>
    <w:p>
      <w:pPr>
        <w:jc w:val="both"/>
        <w:ind w:left="60" w:firstLine="255"/>
        <w:spacing w:after="0" w:line="287" w:lineRule="auto"/>
        <w:rPr>
          <w:sz w:val="20"/>
          <w:szCs w:val="20"/>
          <w:color w:val="auto"/>
        </w:rPr>
      </w:pPr>
      <w:r>
        <w:rPr>
          <w:rFonts w:ascii="Times New Roman" w:cs="Times New Roman" w:eastAsia="Times New Roman" w:hAnsi="Times New Roman"/>
          <w:sz w:val="14"/>
          <w:szCs w:val="14"/>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information about trade receivables and deferred revenue:</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7540" w:type="dxa"/>
            <w:vAlign w:val="bottom"/>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9"/>
        </w:trPr>
        <w:tc>
          <w:tcPr>
            <w:tcW w:w="7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2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2"/>
                <w:szCs w:val="12"/>
                <w:color w:val="auto"/>
              </w:rPr>
            </w:pPr>
          </w:p>
        </w:tc>
      </w:tr>
      <w:tr>
        <w:trPr>
          <w:trHeight w:val="160"/>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Trade receivables</w:t>
            </w:r>
          </w:p>
        </w:tc>
        <w:tc>
          <w:tcPr>
            <w:tcW w:w="1340" w:type="dxa"/>
            <w:vAlign w:val="bottom"/>
          </w:tcPr>
          <w:p>
            <w:pPr>
              <w:jc w:val="right"/>
              <w:ind w:right="122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375</w:t>
            </w:r>
          </w:p>
        </w:tc>
        <w:tc>
          <w:tcPr>
            <w:tcW w:w="50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362</w:t>
            </w:r>
          </w:p>
        </w:tc>
      </w:tr>
      <w:tr>
        <w:trPr>
          <w:trHeight w:val="16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(contract liabilities)</w:t>
            </w:r>
          </w:p>
        </w:tc>
        <w:tc>
          <w:tcPr>
            <w:tcW w:w="13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95</w:t>
            </w: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r>
    </w:tbl>
    <w:p>
      <w:pPr>
        <w:spacing w:after="0" w:line="144" w:lineRule="exact"/>
        <w:rPr>
          <w:sz w:val="20"/>
          <w:szCs w:val="20"/>
          <w:color w:val="auto"/>
        </w:rPr>
      </w:pPr>
    </w:p>
    <w:p>
      <w:pPr>
        <w:jc w:val="both"/>
        <w:ind w:left="60" w:firstLine="255"/>
        <w:spacing w:after="0" w:line="270" w:lineRule="auto"/>
        <w:rPr>
          <w:sz w:val="20"/>
          <w:szCs w:val="20"/>
          <w:color w:val="auto"/>
        </w:rPr>
      </w:pPr>
      <w:r>
        <w:rPr>
          <w:rFonts w:ascii="Times New Roman" w:cs="Times New Roman" w:eastAsia="Times New Roman" w:hAnsi="Times New Roman"/>
          <w:sz w:val="14"/>
          <w:szCs w:val="14"/>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Consolidated Balance Sheets. During the years ended December 31, 2025 and 2024, we recognized $84 million and $80 million of revenue, respectively, which was included in deferred revenue at the beginning of the respective period.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4"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L — Other Intangible Assets</w:t>
      </w:r>
    </w:p>
    <w:p>
      <w:pPr>
        <w:spacing w:after="0" w:line="1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to Other intangible assets, net, on the Consolidated Balance Sheets as of December 31, 2025 and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49"/>
        </w:trPr>
        <w:tc>
          <w:tcPr>
            <w:tcW w:w="7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Pr>
          <w:p>
            <w:pPr>
              <w:spacing w:after="0"/>
              <w:rPr>
                <w:sz w:val="12"/>
                <w:szCs w:val="12"/>
                <w:color w:val="auto"/>
              </w:rPr>
            </w:pPr>
          </w:p>
        </w:tc>
      </w:tr>
      <w:tr>
        <w:trPr>
          <w:trHeight w:val="160"/>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Customer relationships and contracts</w:t>
            </w:r>
          </w:p>
        </w:tc>
        <w:tc>
          <w:tcPr>
            <w:tcW w:w="1540" w:type="dxa"/>
            <w:vAlign w:val="bottom"/>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w:t>
            </w:r>
          </w:p>
        </w:tc>
      </w:tr>
      <w:tr>
        <w:trPr>
          <w:trHeight w:val="169"/>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VOBA</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r>
      <w:tr>
        <w:trPr>
          <w:trHeight w:val="153"/>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DAC</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3,036</w:t>
            </w:r>
          </w:p>
        </w:tc>
      </w:tr>
      <w:tr>
        <w:trPr>
          <w:trHeight w:val="165"/>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DSI</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w:t>
            </w:r>
          </w:p>
        </w:tc>
      </w:tr>
      <w:tr>
        <w:trPr>
          <w:trHeight w:val="153"/>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Value of distribution asset</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r>
      <w:tr>
        <w:trPr>
          <w:trHeight w:val="165"/>
        </w:trPr>
        <w:tc>
          <w:tcPr>
            <w:tcW w:w="7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Computer software</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r>
      <w:tr>
        <w:trPr>
          <w:trHeight w:val="153"/>
        </w:trPr>
        <w:tc>
          <w:tcPr>
            <w:tcW w:w="7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Trademarks, tradenames, and other</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w:t>
            </w:r>
          </w:p>
        </w:tc>
      </w:tr>
      <w:tr>
        <w:trPr>
          <w:trHeight w:val="181"/>
        </w:trPr>
        <w:tc>
          <w:tcPr>
            <w:tcW w:w="72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 Other intangible assets, net</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6,641</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5,976</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VOBA by product for the years ended December 31, 2025 and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center"/>
              <w:ind w:left="663"/>
              <w:spacing w:after="0"/>
              <w:rPr>
                <w:sz w:val="20"/>
                <w:szCs w:val="20"/>
                <w:color w:val="auto"/>
              </w:rPr>
            </w:pPr>
            <w:r>
              <w:rPr>
                <w:rFonts w:ascii="Times New Roman" w:cs="Times New Roman" w:eastAsia="Times New Roman" w:hAnsi="Times New Roman"/>
                <w:sz w:val="11"/>
                <w:szCs w:val="11"/>
                <w:color w:val="auto"/>
              </w:rPr>
              <w:t>892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r>
      <w:tr>
        <w:trPr>
          <w:trHeight w:val="153"/>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643"/>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w:t>
            </w:r>
          </w:p>
        </w:tc>
      </w:tr>
      <w:tr>
        <w:trPr>
          <w:trHeight w:val="181"/>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center"/>
              <w:ind w:left="663"/>
              <w:spacing w:after="0"/>
              <w:rPr>
                <w:sz w:val="20"/>
                <w:szCs w:val="20"/>
                <w:color w:val="auto"/>
              </w:rPr>
            </w:pPr>
            <w:r>
              <w:rPr>
                <w:rFonts w:ascii="Times New Roman" w:cs="Times New Roman" w:eastAsia="Times New Roman" w:hAnsi="Times New Roman"/>
                <w:sz w:val="11"/>
                <w:szCs w:val="11"/>
                <w:color w:val="auto"/>
              </w:rPr>
              <w:t>770</w:t>
            </w: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1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4"/>
        </w:trPr>
        <w:tc>
          <w:tcPr>
            <w:tcW w:w="4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1,025</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w:t>
            </w:r>
          </w:p>
        </w:tc>
      </w:tr>
      <w:tr>
        <w:trPr>
          <w:trHeight w:val="153"/>
        </w:trPr>
        <w:tc>
          <w:tcPr>
            <w:tcW w:w="444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r>
      <w:tr>
        <w:trPr>
          <w:trHeight w:val="165"/>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Actuarial model updates and refinements (a)</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r>
      <w:tr>
        <w:trPr>
          <w:trHeight w:val="150"/>
        </w:trPr>
        <w:tc>
          <w:tcPr>
            <w:tcW w:w="4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892</w:t>
            </w: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1,349</w:t>
            </w:r>
          </w:p>
        </w:tc>
      </w:tr>
      <w:tr>
        <w:trPr>
          <w:trHeight w:val="20"/>
        </w:trPr>
        <w:tc>
          <w:tcPr>
            <w:tcW w:w="4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60" w:hanging="255"/>
        <w:spacing w:after="0"/>
        <w:tabs>
          <w:tab w:leader="none" w:pos="260" w:val="left"/>
        </w:tabs>
        <w:numPr>
          <w:ilvl w:val="0"/>
          <w:numId w:val="5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of amortization of ($15 million).</w:t>
      </w:r>
    </w:p>
    <w:p>
      <w:pPr>
        <w:spacing w:after="0" w:line="67"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VOBA amortization expense of $153 million, $175 million, and $169 million, was recorded in Depreciation and amortization on the Consolidated Statements of Earnings for the years ended December 31, 2025, 2024, and 2023, respectively.</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DAC by product for the years ended December 31, 2025 and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 (a)</w:t>
            </w:r>
          </w:p>
        </w:tc>
      </w:tr>
      <w:tr>
        <w:trPr>
          <w:trHeight w:val="154"/>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2025</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1,874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center"/>
              <w:ind w:left="883"/>
              <w:spacing w:after="0"/>
              <w:rPr>
                <w:sz w:val="20"/>
                <w:szCs w:val="20"/>
                <w:color w:val="auto"/>
              </w:rPr>
            </w:pPr>
            <w:r>
              <w:rPr>
                <w:rFonts w:ascii="Times New Roman" w:cs="Times New Roman" w:eastAsia="Times New Roman" w:hAnsi="Times New Roman"/>
                <w:sz w:val="11"/>
                <w:szCs w:val="11"/>
                <w:color w:val="auto"/>
              </w:rPr>
              <w:t>376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3,031</w:t>
            </w:r>
          </w:p>
        </w:tc>
      </w:tr>
      <w:tr>
        <w:trPr>
          <w:trHeight w:val="153"/>
        </w:trPr>
        <w:tc>
          <w:tcPr>
            <w:tcW w:w="58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left="883"/>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954</w:t>
            </w:r>
          </w:p>
        </w:tc>
      </w:tr>
      <w:tr>
        <w:trPr>
          <w:trHeight w:val="165"/>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r>
      <w:tr>
        <w:trPr>
          <w:trHeight w:val="150"/>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2025</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2,205</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center"/>
              <w:ind w:left="883"/>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1,021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3,628</w:t>
            </w: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 (a)</w:t>
            </w:r>
          </w:p>
        </w:tc>
        <w:tc>
          <w:tcPr>
            <w:tcW w:w="0" w:type="dxa"/>
            <w:vAlign w:val="bottom"/>
          </w:tcPr>
          <w:p>
            <w:pPr>
              <w:spacing w:after="0"/>
              <w:rPr>
                <w:sz w:val="1"/>
                <w:szCs w:val="1"/>
                <w:color w:val="auto"/>
              </w:rPr>
            </w:pPr>
          </w:p>
        </w:tc>
      </w:tr>
      <w:tr>
        <w:trPr>
          <w:trHeight w:val="154"/>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ind w:left="9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 2024</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288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545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0" w:type="dxa"/>
            <w:vAlign w:val="bottom"/>
          </w:tcPr>
          <w:p>
            <w:pPr>
              <w:spacing w:after="0"/>
              <w:rPr>
                <w:sz w:val="1"/>
                <w:szCs w:val="1"/>
                <w:color w:val="auto"/>
              </w:rPr>
            </w:pPr>
          </w:p>
        </w:tc>
      </w:tr>
      <w:tr>
        <w:trPr>
          <w:trHeight w:val="153"/>
        </w:trPr>
        <w:tc>
          <w:tcPr>
            <w:tcW w:w="58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1"/>
                <w:szCs w:val="11"/>
                <w:color w:val="auto"/>
              </w:rPr>
              <w:t>274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w:t>
            </w:r>
          </w:p>
        </w:tc>
        <w:tc>
          <w:tcPr>
            <w:tcW w:w="0" w:type="dxa"/>
            <w:vAlign w:val="bottom"/>
          </w:tcPr>
          <w:p>
            <w:pPr>
              <w:spacing w:after="0"/>
              <w:rPr>
                <w:sz w:val="1"/>
                <w:szCs w:val="1"/>
                <w:color w:val="auto"/>
              </w:rPr>
            </w:pPr>
          </w:p>
        </w:tc>
      </w:tr>
      <w:tr>
        <w:trPr>
          <w:trHeight w:val="165"/>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1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1"/>
                <w:szCs w:val="11"/>
                <w:color w:val="auto"/>
                <w:w w:val="97"/>
              </w:rPr>
              <w:t>(86)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0" w:type="dxa"/>
            <w:vAlign w:val="bottom"/>
          </w:tcPr>
          <w:p>
            <w:pPr>
              <w:spacing w:after="0"/>
              <w:rPr>
                <w:sz w:val="1"/>
                <w:szCs w:val="1"/>
                <w:color w:val="auto"/>
              </w:rPr>
            </w:pPr>
          </w:p>
        </w:tc>
      </w:tr>
      <w:tr>
        <w:trPr>
          <w:trHeight w:val="150"/>
        </w:trPr>
        <w:tc>
          <w:tcPr>
            <w:tcW w:w="5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 2024</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1,874</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color w:val="auto"/>
              </w:rPr>
              <w:t>376</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3,031</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(a) Excludes insignificant amounts of DAC related to FABN and PRT.</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DAC amortization expense of $357 million, $280 million, and $186 million, was recorded in Depreciation and amortization on the Consolidated Statements of Earnings for the years ended December 31, 2025, 2024, and 2023, respectively, excluding insignificant amounts related to FABN and PRT.</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a reconciliation of DAC to the table above which is reconciled to the Consolidated Balance Sheets as of December 31, 2025 and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7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00" w:type="dxa"/>
            <w:vAlign w:val="bottom"/>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Pr>
          <w:p>
            <w:pPr>
              <w:spacing w:after="0"/>
              <w:rPr>
                <w:sz w:val="13"/>
                <w:szCs w:val="13"/>
                <w:color w:val="auto"/>
              </w:rPr>
            </w:pPr>
          </w:p>
        </w:tc>
      </w:tr>
      <w:tr>
        <w:trPr>
          <w:trHeight w:val="164"/>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1,874</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r>
      <w:tr>
        <w:trPr>
          <w:trHeight w:val="16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Universal Life</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781</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FABN</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15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726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540" w:type="dxa"/>
            <w:vAlign w:val="bottom"/>
            <w:tcBorders>
              <w:bottom w:val="single" w:sz="8" w:color="auto"/>
            </w:tcBorders>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3,036</w:t>
            </w:r>
          </w:p>
        </w:tc>
      </w:tr>
      <w:tr>
        <w:trPr>
          <w:trHeight w:val="20"/>
        </w:trPr>
        <w:tc>
          <w:tcPr>
            <w:tcW w:w="7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DSI for our indexed annuity products for the years ended December 31, 2025 and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1"/>
                <w:szCs w:val="11"/>
                <w:b w:val="1"/>
                <w:bCs w:val="1"/>
                <w:color w:val="auto"/>
              </w:rPr>
              <w:t>Years Ended December 31,</w:t>
            </w:r>
          </w:p>
        </w:tc>
        <w:tc>
          <w:tcPr>
            <w:tcW w:w="1320" w:type="dxa"/>
            <w:vAlign w:val="bottom"/>
            <w:tcBorders>
              <w:bottom w:val="single" w:sz="8" w:color="auto"/>
            </w:tcBorders>
          </w:tcPr>
          <w:p>
            <w:pPr>
              <w:spacing w:after="0"/>
              <w:rPr>
                <w:sz w:val="13"/>
                <w:szCs w:val="13"/>
                <w:color w:val="auto"/>
              </w:rPr>
            </w:pPr>
          </w:p>
        </w:tc>
      </w:tr>
      <w:tr>
        <w:trPr>
          <w:trHeight w:val="154"/>
        </w:trPr>
        <w:tc>
          <w:tcPr>
            <w:tcW w:w="6980" w:type="dxa"/>
            <w:vAlign w:val="bottom"/>
          </w:tcPr>
          <w:p>
            <w:pPr>
              <w:spacing w:after="0"/>
              <w:rPr>
                <w:sz w:val="13"/>
                <w:szCs w:val="13"/>
                <w:color w:val="auto"/>
              </w:rPr>
            </w:pPr>
          </w:p>
        </w:tc>
        <w:tc>
          <w:tcPr>
            <w:tcW w:w="13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69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320" w:type="dxa"/>
            <w:vAlign w:val="bottom"/>
          </w:tcPr>
          <w:p>
            <w:pPr>
              <w:spacing w:after="0"/>
              <w:rPr>
                <w:sz w:val="13"/>
                <w:szCs w:val="13"/>
                <w:color w:val="auto"/>
              </w:rPr>
            </w:pPr>
          </w:p>
        </w:tc>
      </w:tr>
      <w:tr>
        <w:trPr>
          <w:trHeight w:val="164"/>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January 1,</w:t>
            </w:r>
          </w:p>
        </w:tc>
        <w:tc>
          <w:tcPr>
            <w:tcW w:w="1320" w:type="dxa"/>
            <w:vAlign w:val="bottom"/>
            <w:shd w:val="clear" w:color="auto" w:fill="CCEEFF"/>
          </w:tcPr>
          <w:p>
            <w:pPr>
              <w:jc w:val="right"/>
              <w:ind w:right="12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625</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1"/>
                <w:szCs w:val="11"/>
                <w:color w:val="auto"/>
              </w:rPr>
              <w:t>346</w:t>
            </w:r>
          </w:p>
        </w:tc>
      </w:tr>
      <w:tr>
        <w:trPr>
          <w:trHeight w:val="153"/>
        </w:trPr>
        <w:tc>
          <w:tcPr>
            <w:tcW w:w="6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1320" w:type="dxa"/>
            <w:vAlign w:val="bottom"/>
          </w:tcPr>
          <w:p>
            <w:pPr>
              <w:spacing w:after="0"/>
              <w:rPr>
                <w:sz w:val="13"/>
                <w:szCs w:val="13"/>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332</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ind w:left="1100"/>
              <w:spacing w:after="0"/>
              <w:rPr>
                <w:sz w:val="20"/>
                <w:szCs w:val="20"/>
                <w:color w:val="auto"/>
              </w:rPr>
            </w:pPr>
            <w:r>
              <w:rPr>
                <w:rFonts w:ascii="Times New Roman" w:cs="Times New Roman" w:eastAsia="Times New Roman" w:hAnsi="Times New Roman"/>
                <w:sz w:val="11"/>
                <w:szCs w:val="11"/>
                <w:color w:val="auto"/>
              </w:rPr>
              <w:t>319</w:t>
            </w:r>
          </w:p>
        </w:tc>
      </w:tr>
      <w:tr>
        <w:trPr>
          <w:trHeight w:val="159"/>
        </w:trPr>
        <w:tc>
          <w:tcPr>
            <w:tcW w:w="6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1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w w:val="97"/>
              </w:rPr>
              <w:t>(66)</w:t>
            </w:r>
          </w:p>
        </w:tc>
        <w:tc>
          <w:tcPr>
            <w:tcW w:w="14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1"/>
                <w:szCs w:val="11"/>
                <w:color w:val="auto"/>
                <w:w w:val="97"/>
              </w:rPr>
              <w:t>(40)</w:t>
            </w:r>
          </w:p>
        </w:tc>
      </w:tr>
      <w:tr>
        <w:trPr>
          <w:trHeight w:val="156"/>
        </w:trPr>
        <w:tc>
          <w:tcPr>
            <w:tcW w:w="69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w:t>
            </w:r>
          </w:p>
        </w:tc>
        <w:tc>
          <w:tcPr>
            <w:tcW w:w="1320" w:type="dxa"/>
            <w:vAlign w:val="bottom"/>
            <w:tcBorders>
              <w:bottom w:val="single" w:sz="8" w:color="auto"/>
            </w:tcBorders>
          </w:tcPr>
          <w:p>
            <w:pPr>
              <w:jc w:val="right"/>
              <w:ind w:right="120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891</w:t>
            </w:r>
          </w:p>
        </w:tc>
        <w:tc>
          <w:tcPr>
            <w:tcW w:w="140" w:type="dxa"/>
            <w:vAlign w:val="bottom"/>
          </w:tcPr>
          <w:p>
            <w:pPr>
              <w:spacing w:after="0"/>
              <w:rPr>
                <w:sz w:val="13"/>
                <w:szCs w:val="13"/>
                <w:color w:val="auto"/>
              </w:rPr>
            </w:pPr>
          </w:p>
        </w:tc>
        <w:tc>
          <w:tcPr>
            <w:tcW w:w="76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1"/>
                <w:szCs w:val="11"/>
                <w:color w:val="auto"/>
              </w:rPr>
              <w:t>625</w:t>
            </w: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DSI amortization expense of $66 million, $40 million, and $22 million, was recorded in Depreciation and amortization on the Consolidated Statements of Earnings for the years ended December 31, 2025, 2024, and 2023, respectively.</w:t>
      </w:r>
    </w:p>
    <w:p>
      <w:pPr>
        <w:spacing w:after="0" w:line="50"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The cash flow assumptions used to amortize VOBA and DAC were consistent with the assumptions used to estimate the future policy benefits (“FPB”) for life contingent immediate annuities and PRT. Those assumptions will be reviewed and unlocked, if applicable, in the same period as those balances. For nonparticipating traditional life contracts, the VOBA amortization is straight-line, without the use of cash flow assumptions. For indexed annuity contracts, the cash flow assumptions used to amortize VOBA, DAC, and DSI were consistent with the assumptions used to estimate the value of the embedded derivative and MRBs, and will be reviewed and unlocked, if applicable, in the same period as those balances. For fixed rate annuities and IUL the cash flow assumptions used to amortize VOBA and DAC reflect the Company’s best estimates for policyholder behavior, consistent with the development of assumptions for indexed annuities and immediate annuities. Refer to Note A </w:t>
      </w:r>
      <w:r>
        <w:rPr>
          <w:rFonts w:ascii="Times New Roman" w:cs="Times New Roman" w:eastAsia="Times New Roman" w:hAnsi="Times New Roman"/>
          <w:sz w:val="14"/>
          <w:szCs w:val="14"/>
          <w:i w:val="1"/>
          <w:iCs w:val="1"/>
          <w:color w:val="auto"/>
        </w:rPr>
        <w:t>Business and Summary of Significant Accounting Policies</w:t>
      </w:r>
      <w:r>
        <w:rPr>
          <w:rFonts w:ascii="Times New Roman" w:cs="Times New Roman" w:eastAsia="Times New Roman" w:hAnsi="Times New Roman"/>
          <w:sz w:val="14"/>
          <w:szCs w:val="14"/>
          <w:color w:val="auto"/>
        </w:rPr>
        <w:t xml:space="preserve"> for further information about accounting policies for amortization of VOBA, DAC and DSI.</w:t>
      </w:r>
    </w:p>
    <w:p>
      <w:pPr>
        <w:spacing w:after="0" w:line="6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F&amp;G reviews cash flow assumptions annually, generally in the third quarter. In 2024 and 2025, F&amp;G undertook a review of all significant assumptions and revised several assumptions relating to their deferred annuity (indexed annuity and fixed rate annuity) and IUL products. For the year ended December 31, 2025, F&amp;G updated the assumption for option budgets, surrenders, lapses, mortality and mortality improvement, and free partial withdrawals. For the year ended December 31, 2024, F&amp;G updated assumptions including surrender rates, GMWB election timing, premium persistency, mortality improvement, and option budgets. For both periods, these assumption updates resulted in increased amortization rates on some DAC and DSI balances, primarily for indexed annuities. All updates to these assumptions brought F&amp;G more in line with internal and overall industry experience since the prior assumption update.</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the in-force liabilities as of December 31, 2025, the estimated amortization expense for VOBA in future fiscal periods is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Estimated Amortization Expense</w:t>
            </w:r>
          </w:p>
        </w:tc>
      </w:tr>
      <w:tr>
        <w:trPr>
          <w:trHeight w:val="154"/>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00" w:type="dxa"/>
            <w:vAlign w:val="bottom"/>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75"/>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r>
      <w:tr>
        <w:trPr>
          <w:trHeight w:val="168"/>
        </w:trPr>
        <w:tc>
          <w:tcPr>
            <w:tcW w:w="9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1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2"/>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2030</w:t>
            </w:r>
          </w:p>
        </w:tc>
        <w:tc>
          <w:tcPr>
            <w:tcW w:w="140" w:type="dxa"/>
            <w:vAlign w:val="bottom"/>
            <w:shd w:val="clear" w:color="auto" w:fill="CCEEFF"/>
          </w:tcPr>
          <w:p>
            <w:pPr>
              <w:spacing w:after="0"/>
              <w:rPr>
                <w:sz w:val="14"/>
                <w:szCs w:val="14"/>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3"/>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Thereafter</w:t>
            </w:r>
          </w:p>
        </w:tc>
        <w:tc>
          <w:tcPr>
            <w:tcW w:w="1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645</w:t>
            </w:r>
          </w:p>
        </w:tc>
      </w:tr>
      <w:tr>
        <w:trPr>
          <w:trHeight w:val="181"/>
        </w:trPr>
        <w:tc>
          <w:tcPr>
            <w:tcW w:w="9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Definite and Indefinite Lived Other Intangible Assets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intangible assets as of December 31, 2025,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1"/>
                <w:szCs w:val="11"/>
                <w:color w:val="auto"/>
              </w:rPr>
            </w:pPr>
          </w:p>
        </w:tc>
        <w:tc>
          <w:tcPr>
            <w:tcW w:w="1300" w:type="dxa"/>
            <w:vAlign w:val="bottom"/>
            <w:vMerge w:val="restart"/>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0" w:type="dxa"/>
            <w:vAlign w:val="bottom"/>
          </w:tcPr>
          <w:p>
            <w:pPr>
              <w:spacing w:after="0"/>
              <w:rPr>
                <w:sz w:val="1"/>
                <w:szCs w:val="1"/>
                <w:color w:val="auto"/>
              </w:rPr>
            </w:pPr>
          </w:p>
        </w:tc>
      </w:tr>
      <w:tr>
        <w:trPr>
          <w:trHeight w:val="153"/>
        </w:trPr>
        <w:tc>
          <w:tcPr>
            <w:tcW w:w="50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16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gridSpan w:val="3"/>
          </w:tcPr>
          <w:p>
            <w:pPr>
              <w:jc w:val="right"/>
              <w:ind w:right="112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 and contracts (a)</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(411)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6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10 to 20</w:t>
            </w:r>
          </w:p>
        </w:tc>
        <w:tc>
          <w:tcPr>
            <w:tcW w:w="0" w:type="dxa"/>
            <w:vAlign w:val="bottom"/>
          </w:tcPr>
          <w:p>
            <w:pPr>
              <w:spacing w:after="0"/>
              <w:rPr>
                <w:sz w:val="1"/>
                <w:szCs w:val="1"/>
                <w:color w:val="auto"/>
              </w:rPr>
            </w:pPr>
          </w:p>
        </w:tc>
      </w:tr>
      <w:tr>
        <w:trPr>
          <w:trHeight w:val="153"/>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Computer software</w:t>
            </w:r>
          </w:p>
        </w:tc>
        <w:tc>
          <w:tcPr>
            <w:tcW w:w="104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747</w:t>
            </w:r>
          </w:p>
        </w:tc>
        <w:tc>
          <w:tcPr>
            <w:tcW w:w="140" w:type="dxa"/>
            <w:vAlign w:val="bottom"/>
          </w:tcPr>
          <w:p>
            <w:pPr>
              <w:spacing w:after="0"/>
              <w:rPr>
                <w:sz w:val="13"/>
                <w:szCs w:val="13"/>
                <w:color w:val="auto"/>
              </w:rPr>
            </w:pP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(458)</w:t>
            </w:r>
          </w:p>
        </w:tc>
        <w:tc>
          <w:tcPr>
            <w:tcW w:w="1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color w:val="auto"/>
              </w:rPr>
              <w:t>2 to 10</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distribution asset (VODA)</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140</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(78)</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64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Trademarks, tradenames, and other</w:t>
            </w:r>
          </w:p>
        </w:tc>
        <w:tc>
          <w:tcPr>
            <w:tcW w:w="10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rPr>
              <w:t>289</w:t>
            </w:r>
          </w:p>
        </w:tc>
        <w:tc>
          <w:tcPr>
            <w:tcW w:w="14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1"/>
                <w:szCs w:val="11"/>
                <w:color w:val="auto"/>
              </w:rPr>
              <w:t>(72)</w:t>
            </w: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1640" w:type="dxa"/>
            <w:vAlign w:val="bottom"/>
            <w:tcBorders>
              <w:bottom w:val="single" w:sz="8" w:color="CCEEFF"/>
            </w:tcBorders>
          </w:tcPr>
          <w:p>
            <w:pPr>
              <w:jc w:val="center"/>
              <w:ind w:left="23"/>
              <w:spacing w:after="0"/>
              <w:rPr>
                <w:sz w:val="20"/>
                <w:szCs w:val="20"/>
                <w:color w:val="auto"/>
              </w:rPr>
            </w:pPr>
            <w:r>
              <w:rPr>
                <w:rFonts w:ascii="Times New Roman" w:cs="Times New Roman" w:eastAsia="Times New Roman" w:hAnsi="Times New Roman"/>
                <w:sz w:val="11"/>
                <w:szCs w:val="11"/>
                <w:color w:val="auto"/>
                <w:w w:val="97"/>
              </w:rPr>
              <w:t>Varies</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w:t>
            </w:r>
          </w:p>
        </w:tc>
        <w:tc>
          <w:tcPr>
            <w:tcW w:w="16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Other intangible assets as of December 31, 2024, consist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40" w:type="dxa"/>
            <w:vAlign w:val="bottom"/>
          </w:tcPr>
          <w:p>
            <w:pPr>
              <w:spacing w:after="0"/>
              <w:rPr>
                <w:sz w:val="11"/>
                <w:szCs w:val="11"/>
                <w:color w:val="auto"/>
              </w:rPr>
            </w:pPr>
          </w:p>
        </w:tc>
        <w:tc>
          <w:tcPr>
            <w:tcW w:w="104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220" w:type="dxa"/>
            <w:vAlign w:val="bottom"/>
          </w:tcPr>
          <w:p>
            <w:pPr>
              <w:spacing w:after="0"/>
              <w:rPr>
                <w:sz w:val="11"/>
                <w:szCs w:val="11"/>
                <w:color w:val="auto"/>
              </w:rPr>
            </w:pP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b w:val="1"/>
                <w:bCs w:val="1"/>
                <w:color w:val="auto"/>
              </w:rPr>
              <w:t>Weighted average useful life</w:t>
            </w:r>
          </w:p>
        </w:tc>
        <w:tc>
          <w:tcPr>
            <w:tcW w:w="0" w:type="dxa"/>
            <w:vAlign w:val="bottom"/>
          </w:tcPr>
          <w:p>
            <w:pPr>
              <w:spacing w:after="0"/>
              <w:rPr>
                <w:sz w:val="1"/>
                <w:szCs w:val="1"/>
                <w:color w:val="auto"/>
              </w:rPr>
            </w:pPr>
          </w:p>
        </w:tc>
      </w:tr>
      <w:tr>
        <w:trPr>
          <w:trHeight w:val="154"/>
        </w:trPr>
        <w:tc>
          <w:tcPr>
            <w:tcW w:w="504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center"/>
              <w:ind w:left="43"/>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2"/>
          </w:tcPr>
          <w:p>
            <w:pPr>
              <w:jc w:val="right"/>
              <w:ind w:right="9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 and contracts</w:t>
            </w:r>
          </w:p>
        </w:tc>
        <w:tc>
          <w:tcPr>
            <w:tcW w:w="104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795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(360)</w:t>
            </w:r>
          </w:p>
        </w:tc>
        <w:tc>
          <w:tcPr>
            <w:tcW w:w="1240" w:type="dxa"/>
            <w:vAlign w:val="bottom"/>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435</w:t>
            </w:r>
          </w:p>
        </w:tc>
        <w:tc>
          <w:tcPr>
            <w:tcW w:w="1640" w:type="dxa"/>
            <w:vAlign w:val="bottom"/>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10 to 20</w:t>
            </w:r>
          </w:p>
        </w:tc>
        <w:tc>
          <w:tcPr>
            <w:tcW w:w="0" w:type="dxa"/>
            <w:vAlign w:val="bottom"/>
          </w:tcPr>
          <w:p>
            <w:pPr>
              <w:spacing w:after="0"/>
              <w:rPr>
                <w:sz w:val="1"/>
                <w:szCs w:val="1"/>
                <w:color w:val="auto"/>
              </w:rPr>
            </w:pPr>
          </w:p>
        </w:tc>
      </w:tr>
      <w:tr>
        <w:trPr>
          <w:trHeight w:val="153"/>
        </w:trPr>
        <w:tc>
          <w:tcPr>
            <w:tcW w:w="5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Computer software</w:t>
            </w:r>
          </w:p>
        </w:tc>
        <w:tc>
          <w:tcPr>
            <w:tcW w:w="1040" w:type="dxa"/>
            <w:vAlign w:val="bottom"/>
          </w:tcPr>
          <w:p>
            <w:pPr>
              <w:spacing w:after="0"/>
              <w:rPr>
                <w:sz w:val="13"/>
                <w:szCs w:val="13"/>
                <w:color w:val="auto"/>
              </w:rPr>
            </w:pPr>
          </w:p>
        </w:tc>
        <w:tc>
          <w:tcPr>
            <w:tcW w:w="4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723</w:t>
            </w:r>
          </w:p>
        </w:tc>
        <w:tc>
          <w:tcPr>
            <w:tcW w:w="140" w:type="dxa"/>
            <w:vAlign w:val="bottom"/>
          </w:tcPr>
          <w:p>
            <w:pPr>
              <w:spacing w:after="0"/>
              <w:rPr>
                <w:sz w:val="13"/>
                <w:szCs w:val="13"/>
                <w:color w:val="auto"/>
              </w:rPr>
            </w:pPr>
          </w:p>
        </w:tc>
        <w:tc>
          <w:tcPr>
            <w:tcW w:w="14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(446)</w:t>
            </w:r>
          </w:p>
        </w:tc>
        <w:tc>
          <w:tcPr>
            <w:tcW w:w="124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277</w:t>
            </w:r>
          </w:p>
        </w:tc>
        <w:tc>
          <w:tcPr>
            <w:tcW w:w="1640" w:type="dxa"/>
            <w:vAlign w:val="bottom"/>
          </w:tcPr>
          <w:p>
            <w:pPr>
              <w:jc w:val="center"/>
              <w:ind w:left="23"/>
              <w:spacing w:after="0"/>
              <w:rPr>
                <w:sz w:val="20"/>
                <w:szCs w:val="20"/>
                <w:color w:val="auto"/>
              </w:rPr>
            </w:pPr>
            <w:r>
              <w:rPr>
                <w:rFonts w:ascii="Times New Roman" w:cs="Times New Roman" w:eastAsia="Times New Roman" w:hAnsi="Times New Roman"/>
                <w:sz w:val="11"/>
                <w:szCs w:val="11"/>
                <w:color w:val="auto"/>
              </w:rPr>
              <w:t>2 to 10</w:t>
            </w: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Value of distribution Asset (VODA)</w:t>
            </w: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140</w:t>
            </w:r>
          </w:p>
        </w:tc>
        <w:tc>
          <w:tcPr>
            <w:tcW w:w="1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(66)</w:t>
            </w:r>
          </w:p>
        </w:tc>
        <w:tc>
          <w:tcPr>
            <w:tcW w:w="1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640" w:type="dxa"/>
            <w:vAlign w:val="bottom"/>
            <w:shd w:val="clear" w:color="auto" w:fill="CCEEFF"/>
          </w:tcPr>
          <w:p>
            <w:pPr>
              <w:jc w:val="center"/>
              <w:ind w:left="23"/>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5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Trademarks, tradenames, and other</w:t>
            </w:r>
          </w:p>
        </w:tc>
        <w:tc>
          <w:tcPr>
            <w:tcW w:w="10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1"/>
                <w:szCs w:val="11"/>
                <w:color w:val="auto"/>
              </w:rPr>
              <w:t>234</w:t>
            </w:r>
          </w:p>
        </w:tc>
        <w:tc>
          <w:tcPr>
            <w:tcW w:w="14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1"/>
                <w:szCs w:val="11"/>
                <w:color w:val="auto"/>
              </w:rPr>
              <w:t>(54)</w:t>
            </w:r>
          </w:p>
        </w:tc>
        <w:tc>
          <w:tcPr>
            <w:tcW w:w="1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6"/>
              </w:rPr>
              <w:t>180</w:t>
            </w:r>
          </w:p>
        </w:tc>
        <w:tc>
          <w:tcPr>
            <w:tcW w:w="1640" w:type="dxa"/>
            <w:vAlign w:val="bottom"/>
            <w:tcBorders>
              <w:bottom w:val="single" w:sz="8" w:color="CCEEFF"/>
            </w:tcBorders>
          </w:tcPr>
          <w:p>
            <w:pPr>
              <w:jc w:val="center"/>
              <w:ind w:left="23"/>
              <w:spacing w:after="0"/>
              <w:rPr>
                <w:sz w:val="20"/>
                <w:szCs w:val="20"/>
                <w:color w:val="auto"/>
              </w:rPr>
            </w:pPr>
            <w:r>
              <w:rPr>
                <w:rFonts w:ascii="Times New Roman" w:cs="Times New Roman" w:eastAsia="Times New Roman" w:hAnsi="Times New Roman"/>
                <w:sz w:val="11"/>
                <w:szCs w:val="11"/>
                <w:color w:val="auto"/>
                <w:w w:val="97"/>
              </w:rPr>
              <w:t>Varies</w:t>
            </w:r>
          </w:p>
        </w:tc>
        <w:tc>
          <w:tcPr>
            <w:tcW w:w="0" w:type="dxa"/>
            <w:vAlign w:val="bottom"/>
          </w:tcPr>
          <w:p>
            <w:pPr>
              <w:spacing w:after="0"/>
              <w:rPr>
                <w:sz w:val="1"/>
                <w:szCs w:val="1"/>
                <w:color w:val="auto"/>
              </w:rPr>
            </w:pPr>
          </w:p>
        </w:tc>
      </w:tr>
      <w:tr>
        <w:trPr>
          <w:trHeight w:val="1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10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966</w:t>
            </w:r>
          </w:p>
        </w:tc>
        <w:tc>
          <w:tcPr>
            <w:tcW w:w="16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Amortization expense for amortizable intangible assets, which consist primarily of VODA, customer relationships, computer software and definite lived trademarks, tradenames and other, was $203 million, $187 million, and $152 million for the years ended December 31, 2025, 2024, and 2023, respectively. For the amortizable intangible assets as of December 31, 2025, the estimated amortization expense in future fiscal periods is $174 million in 2026, $141 million in 2027, $109 million in 2028, $91 million in 2029, and $64 million in 2030.</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Within definite lived trademarks, tradenames, and other is an amount established to offset MRBs with no explicit rider charges, which had a balance of $145 million and $94 million as of December 31, 2025 and 2024, respectively. Amortization of $9 million, $5 million, and $1 million was recorded in Depreciation and amortization on the Consolidated Statements of Earnings for the years ended December 31, 2025, 2024, and 2023,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M — Goodwill</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summary of the changes in Goodwill consists of the following:</w:t>
      </w:r>
    </w:p>
    <w:p>
      <w:pPr>
        <w:spacing w:after="0" w:line="26"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69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Title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F&amp;G</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Corporate and</w:t>
            </w:r>
          </w:p>
        </w:tc>
        <w:tc>
          <w:tcPr>
            <w:tcW w:w="220" w:type="dxa"/>
            <w:vAlign w:val="bottom"/>
          </w:tcPr>
          <w:p>
            <w:pPr>
              <w:spacing w:after="0"/>
              <w:rPr>
                <w:sz w:val="10"/>
                <w:szCs w:val="10"/>
                <w:color w:val="auto"/>
              </w:rPr>
            </w:pPr>
          </w:p>
        </w:tc>
        <w:tc>
          <w:tcPr>
            <w:tcW w:w="78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6940" w:type="dxa"/>
            <w:vAlign w:val="bottom"/>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1,749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4,830</w:t>
            </w: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 associated with acquisitions</w:t>
            </w: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441</w:t>
            </w:r>
          </w:p>
        </w:tc>
        <w:tc>
          <w:tcPr>
            <w:tcW w:w="0" w:type="dxa"/>
            <w:vAlign w:val="bottom"/>
          </w:tcPr>
          <w:p>
            <w:pPr>
              <w:spacing w:after="0"/>
              <w:rPr>
                <w:sz w:val="1"/>
                <w:szCs w:val="1"/>
                <w:color w:val="auto"/>
              </w:rPr>
            </w:pPr>
          </w:p>
        </w:tc>
      </w:tr>
      <w:tr>
        <w:trPr>
          <w:trHeight w:val="156"/>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2,799</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5,271</w:t>
            </w:r>
          </w:p>
        </w:tc>
        <w:tc>
          <w:tcPr>
            <w:tcW w:w="0" w:type="dxa"/>
            <w:vAlign w:val="bottom"/>
          </w:tcPr>
          <w:p>
            <w:pPr>
              <w:spacing w:after="0"/>
              <w:rPr>
                <w:sz w:val="1"/>
                <w:szCs w:val="1"/>
                <w:color w:val="auto"/>
              </w:rPr>
            </w:pPr>
          </w:p>
        </w:tc>
      </w:tr>
      <w:tr>
        <w:trPr>
          <w:trHeight w:val="153"/>
        </w:trPr>
        <w:tc>
          <w:tcPr>
            <w:tcW w:w="69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Goodwill associated with acquisitions</w:t>
            </w:r>
          </w:p>
        </w:tc>
        <w:tc>
          <w:tcPr>
            <w:tcW w:w="660" w:type="dxa"/>
            <w:vAlign w:val="bottom"/>
          </w:tcPr>
          <w:p>
            <w:pPr>
              <w:spacing w:after="0"/>
              <w:rPr>
                <w:sz w:val="13"/>
                <w:szCs w:val="13"/>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81"/>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2025</w:t>
            </w:r>
          </w:p>
        </w:tc>
        <w:tc>
          <w:tcPr>
            <w:tcW w:w="6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2,180</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5,272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N — F&amp;G Reinsurance</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 xml:space="preserve">The Company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the Company's retention limit is reinsured. The Company primarily seeks reinsurance coverage in order to manage loss exposures, to enhance our capital position, to diversify risks and earnings, and to manage new business volume. The Company follows reinsurance accounting when the treaty adequately transfers insurance risk and any acquisition cost reimbursements reduce policy acquisition costs deferred and maintenance expense reimbursements reduce direct expenses incurred. Otherwise, the Company follows deposit accounting if there is inadequate transfer of insurance risk or if the underlying policy for which risk is being transferred is an investment contract that does not contain insurance risk. Refer to Note A </w:t>
      </w:r>
      <w:r>
        <w:rPr>
          <w:rFonts w:ascii="Times New Roman" w:cs="Times New Roman" w:eastAsia="Times New Roman" w:hAnsi="Times New Roman"/>
          <w:sz w:val="14"/>
          <w:szCs w:val="14"/>
          <w:i w:val="1"/>
          <w:iCs w:val="1"/>
          <w:color w:val="auto"/>
        </w:rPr>
        <w:t>Business and Summary of</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Significant Accounting Policies </w:t>
      </w:r>
      <w:r>
        <w:rPr>
          <w:rFonts w:ascii="Times New Roman" w:cs="Times New Roman" w:eastAsia="Times New Roman" w:hAnsi="Times New Roman"/>
          <w:sz w:val="14"/>
          <w:szCs w:val="14"/>
          <w:color w:val="auto"/>
        </w:rPr>
        <w:t>for more information over our accounting policy for reinsurance agreements. As of December 31, 2025 and 2024 we had an immaterial amount of cost of reinsurance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recorded on the Consolidated Balance Sheets.</w:t>
      </w:r>
    </w:p>
    <w:p>
      <w:pPr>
        <w:spacing w:after="0" w:line="3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effects of reinsurance on net premiums earned, net product fees and net benefits incurred (benefits paid and reserve changes) for the years ended December 31, 2025, 2024, and 2023 respectively,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center"/>
              <w:ind w:left="6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4"/>
        </w:trPr>
        <w:tc>
          <w:tcPr>
            <w:tcW w:w="2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04"/>
        </w:trPr>
        <w:tc>
          <w:tcPr>
            <w:tcW w:w="26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Pr>
          <w:p>
            <w:pPr>
              <w:spacing w:after="0"/>
              <w:rPr>
                <w:sz w:val="9"/>
                <w:szCs w:val="9"/>
                <w:color w:val="auto"/>
              </w:rPr>
            </w:pPr>
          </w:p>
        </w:tc>
        <w:tc>
          <w:tcPr>
            <w:tcW w:w="84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Net Product</w:t>
            </w:r>
          </w:p>
        </w:tc>
        <w:tc>
          <w:tcPr>
            <w:tcW w:w="100" w:type="dxa"/>
            <w:vAlign w:val="bottom"/>
          </w:tcPr>
          <w:p>
            <w:pPr>
              <w:spacing w:after="0"/>
              <w:rPr>
                <w:sz w:val="9"/>
                <w:szCs w:val="9"/>
                <w:color w:val="auto"/>
              </w:rPr>
            </w:pPr>
          </w:p>
        </w:tc>
        <w:tc>
          <w:tcPr>
            <w:tcW w:w="760" w:type="dxa"/>
            <w:vAlign w:val="bottom"/>
          </w:tcPr>
          <w:p>
            <w:pPr>
              <w:jc w:val="center"/>
              <w:ind w:right="43"/>
              <w:spacing w:after="0" w:line="104" w:lineRule="exact"/>
              <w:rPr>
                <w:sz w:val="20"/>
                <w:szCs w:val="20"/>
                <w:color w:val="auto"/>
              </w:rPr>
            </w:pPr>
            <w:r>
              <w:rPr>
                <w:rFonts w:ascii="Times New Roman" w:cs="Times New Roman" w:eastAsia="Times New Roman" w:hAnsi="Times New Roman"/>
                <w:sz w:val="11"/>
                <w:szCs w:val="11"/>
                <w:b w:val="1"/>
                <w:bCs w:val="1"/>
                <w:color w:val="auto"/>
              </w:rPr>
              <w:t>Net Benefits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4" w:lineRule="exact"/>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Net Product</w:t>
            </w:r>
          </w:p>
        </w:tc>
        <w:tc>
          <w:tcPr>
            <w:tcW w:w="140" w:type="dxa"/>
            <w:vAlign w:val="bottom"/>
          </w:tcPr>
          <w:p>
            <w:pPr>
              <w:spacing w:after="0"/>
              <w:rPr>
                <w:sz w:val="9"/>
                <w:szCs w:val="9"/>
                <w:color w:val="auto"/>
              </w:rPr>
            </w:pPr>
          </w:p>
        </w:tc>
        <w:tc>
          <w:tcPr>
            <w:tcW w:w="720" w:type="dxa"/>
            <w:vAlign w:val="bottom"/>
          </w:tcPr>
          <w:p>
            <w:pPr>
              <w:jc w:val="center"/>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Net Benefits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Net Premiums</w:t>
            </w:r>
          </w:p>
        </w:tc>
        <w:tc>
          <w:tcPr>
            <w:tcW w:w="100" w:type="dxa"/>
            <w:vAlign w:val="bottom"/>
          </w:tcPr>
          <w:p>
            <w:pPr>
              <w:spacing w:after="0"/>
              <w:rPr>
                <w:sz w:val="9"/>
                <w:szCs w:val="9"/>
                <w:color w:val="auto"/>
              </w:rPr>
            </w:pPr>
          </w:p>
        </w:tc>
        <w:tc>
          <w:tcPr>
            <w:tcW w:w="86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Net Product</w:t>
            </w:r>
          </w:p>
        </w:tc>
        <w:tc>
          <w:tcPr>
            <w:tcW w:w="100" w:type="dxa"/>
            <w:vAlign w:val="bottom"/>
          </w:tcPr>
          <w:p>
            <w:pPr>
              <w:spacing w:after="0"/>
              <w:rPr>
                <w:sz w:val="9"/>
                <w:szCs w:val="9"/>
                <w:color w:val="auto"/>
              </w:rPr>
            </w:pPr>
          </w:p>
        </w:tc>
        <w:tc>
          <w:tcPr>
            <w:tcW w:w="760" w:type="dxa"/>
            <w:vAlign w:val="bottom"/>
          </w:tcPr>
          <w:p>
            <w:pPr>
              <w:jc w:val="right"/>
              <w:ind w:right="83"/>
              <w:spacing w:after="0" w:line="104" w:lineRule="exact"/>
              <w:rPr>
                <w:sz w:val="20"/>
                <w:szCs w:val="20"/>
                <w:color w:val="auto"/>
              </w:rPr>
            </w:pPr>
            <w:r>
              <w:rPr>
                <w:rFonts w:ascii="Times New Roman" w:cs="Times New Roman" w:eastAsia="Times New Roman" w:hAnsi="Times New Roman"/>
                <w:sz w:val="11"/>
                <w:szCs w:val="11"/>
                <w:b w:val="1"/>
                <w:bCs w:val="1"/>
                <w:color w:val="auto"/>
              </w:rPr>
              <w:t>Net Benefits</w:t>
            </w:r>
          </w:p>
        </w:tc>
      </w:tr>
      <w:tr>
        <w:trPr>
          <w:trHeight w:val="153"/>
        </w:trPr>
        <w:tc>
          <w:tcPr>
            <w:tcW w:w="2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Fees</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Incurred</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Earned</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Fees</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Incurred</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Earned</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Fees</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Incurred</w:t>
            </w:r>
          </w:p>
        </w:tc>
      </w:tr>
      <w:tr>
        <w:trPr>
          <w:trHeight w:val="149"/>
        </w:trPr>
        <w:tc>
          <w:tcPr>
            <w:tcW w:w="2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4"/>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Direct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717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455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3,728</w:t>
            </w:r>
          </w:p>
        </w:tc>
      </w:tr>
      <w:tr>
        <w:trPr>
          <w:trHeight w:val="153"/>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Ceded</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color w:val="auto"/>
              </w:rPr>
              <w:t>(60)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7"/>
              </w:rPr>
              <w:t>(47)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(196)</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1"/>
                <w:szCs w:val="11"/>
                <w:color w:val="auto"/>
                <w:w w:val="97"/>
              </w:rPr>
              <w:t>(49)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w:t>
            </w:r>
          </w:p>
        </w:tc>
      </w:tr>
      <w:tr>
        <w:trPr>
          <w:trHeight w:val="181"/>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657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2,252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608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2,007</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3,553</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Amounts payable or recoverable for reinsurance on paid and unpaid claims are not subject to periodic or maximum limits. No policies issued by the Company have been reinsured with any foreign Company, which is controlled, either directly or indirectly, by a party not primarily engaged in the business of insurance. The Company has not entered into any reinsurance agreements in which the reinsurer may unilaterally cancel any reinsurance for reasons other than non-payment of premiums or other similar credit issues.</w:t>
      </w:r>
    </w:p>
    <w:p>
      <w:pPr>
        <w:spacing w:after="0" w:line="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Reinsurance Transactions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significant changes to third-party reinsurance agreements for the years ended December 31, 2025 and 2024:</w:t>
      </w:r>
    </w:p>
    <w:p>
      <w:pPr>
        <w:spacing w:after="0" w:line="92"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Aspida Re Cayman: </w:t>
      </w:r>
      <w:r>
        <w:rPr>
          <w:rFonts w:ascii="Times New Roman" w:cs="Times New Roman" w:eastAsia="Times New Roman" w:hAnsi="Times New Roman"/>
          <w:sz w:val="14"/>
          <w:szCs w:val="14"/>
          <w:color w:val="auto"/>
        </w:rPr>
        <w:t>Effective November 1, 2025, FGL Insurance entered into a reinsurance agreement with Aspida Re Cayman Ltd. (“Aspida Re Cayman”), an unaffiliated reinsurer, to cede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flow MYGA business, on a funds withheld coinsurance basis, net of applicable existing reinsurance.</w:t>
      </w:r>
    </w:p>
    <w:p>
      <w:pPr>
        <w:spacing w:after="0" w:line="35"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New Re Reinsurance Transaction: </w:t>
      </w:r>
      <w:r>
        <w:rPr>
          <w:rFonts w:ascii="Times New Roman" w:cs="Times New Roman" w:eastAsia="Times New Roman" w:hAnsi="Times New Roman"/>
          <w:sz w:val="14"/>
          <w:szCs w:val="14"/>
          <w:color w:val="auto"/>
        </w:rPr>
        <w:t>Effective October 1, 2025, FGL Insurance recaptured and terminated the indemnity reinsurance agreement with New Reinsurance Company Ltd.,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unaffiliated reinsurer and wholly owned subsidiary of Münchener Rückversicherungs-Gesellschaft Aktiengesellschaft in München (d/b/a “Munich Re”). FGL Insurance recaptured 100% of the liabilities and obligations ceded and entered into a new indemnity reinsurance agreement with Munich Re to cede certain inforce and future flow FIA policies on a coinsurance basis. The coinsurance basis is applicable to the base contract benefits, waiver of surrender charges, and minimum guaranteed surrender value benefits and for certain FIA policies, return of premium rider and minimum interest credit rider benefits.</w:t>
      </w:r>
    </w:p>
    <w:p>
      <w:pPr>
        <w:spacing w:after="0" w:line="55"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New Reinsurance Vehicle: </w:t>
      </w:r>
      <w:r>
        <w:rPr>
          <w:rFonts w:ascii="Times New Roman" w:cs="Times New Roman" w:eastAsia="Times New Roman" w:hAnsi="Times New Roman"/>
          <w:sz w:val="14"/>
          <w:szCs w:val="14"/>
          <w:color w:val="auto"/>
        </w:rPr>
        <w:t>Effective August 1, 2025, F&amp;G executed this forward flow reinsurance agreement with Fort Greene Reinsurance SPC Limited Segregated Portfolio No. 1, (“Fort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Greene”) to cede certain FIA policies on a coinsurance funds withheld quota share basis and certain funding agreements on a modified coinsurance basis. F&amp;G does not hold any ownership stake in the unaffiliated Fort Greene entity.</w:t>
      </w:r>
    </w:p>
    <w:p>
      <w:pPr>
        <w:spacing w:after="0" w:line="49"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Everlake: </w:t>
      </w:r>
      <w:r>
        <w:rPr>
          <w:rFonts w:ascii="Times New Roman" w:cs="Times New Roman" w:eastAsia="Times New Roman" w:hAnsi="Times New Roman"/>
          <w:sz w:val="14"/>
          <w:szCs w:val="14"/>
          <w:color w:val="auto"/>
        </w:rPr>
        <w:t>Effective January 1, 2025, F&amp;G amended the existing flow reinsurance agreement with Everlake Life Insurance Company (“Everlake”) to cede future additional MYGA business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agreed upon periods to Everlake pursuant to an offer and acceptance process, rather than on a flow basis. The amendment included a cession of an inforce block of certain MYGA policies on a coinsurance quota share basis.</w:t>
      </w:r>
    </w:p>
    <w:p>
      <w:pPr>
        <w:spacing w:after="0" w:line="38" w:lineRule="exact"/>
        <w:rPr>
          <w:sz w:val="20"/>
          <w:szCs w:val="20"/>
          <w:color w:val="auto"/>
        </w:rPr>
      </w:pPr>
    </w:p>
    <w:p>
      <w:pPr>
        <w:jc w:val="both"/>
        <w:ind w:firstLine="255"/>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IUL YRT Reinsurance: </w:t>
      </w:r>
      <w:r>
        <w:rPr>
          <w:rFonts w:ascii="Times New Roman" w:cs="Times New Roman" w:eastAsia="Times New Roman" w:hAnsi="Times New Roman"/>
          <w:sz w:val="14"/>
          <w:szCs w:val="14"/>
          <w:color w:val="auto"/>
        </w:rPr>
        <w:t>Effective January 1, 2025, F&amp;G entered into separate flow reinsurance agreements with several unaffiliated reinsurers to reinsure mortality risk on certain new IUL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policies and effective July 1, 2025, F&amp;G entered into additional separate reinsurance agreements with several unaffiliated reinsurers to reinsure mortality risk on certain inforce IUL policies. In accordance with the terms of these agreements, F&amp;G cedes the net amount at risk on the IUL policies, which is the difference between the stated death benefit and the contractholder funds balance, on a yearly renewable term basis.</w:t>
      </w:r>
    </w:p>
    <w:p>
      <w:pPr>
        <w:spacing w:after="0" w:line="6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Somerset: </w:t>
      </w:r>
      <w:r>
        <w:rPr>
          <w:rFonts w:ascii="Times New Roman" w:cs="Times New Roman" w:eastAsia="Times New Roman" w:hAnsi="Times New Roman"/>
          <w:sz w:val="14"/>
          <w:szCs w:val="14"/>
          <w:color w:val="auto"/>
        </w:rPr>
        <w:t>Effective July 1, 2024, F&amp;G amended the existing flow reinsurance agreement with Somerset Reinsurance Ltd. (“Somerset”), a third-party reinsurer, to additionally cede the base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contract benefits and GMWB riders attached under certain FIA policies on a coinsurance funds withheld quota share basis.</w:t>
      </w:r>
    </w:p>
    <w:p>
      <w:pPr>
        <w:spacing w:after="0" w:line="35"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Kubera: </w:t>
      </w:r>
      <w:r>
        <w:rPr>
          <w:rFonts w:ascii="Times New Roman" w:cs="Times New Roman" w:eastAsia="Times New Roman" w:hAnsi="Times New Roman"/>
          <w:sz w:val="14"/>
          <w:szCs w:val="14"/>
          <w:color w:val="auto"/>
        </w:rPr>
        <w:t>F&amp;G has a reinsurance agreement with Kubera Insurance (SAC) Ltd. (“Kubera”), an unaffiliated reinsurer, to cede certain FIA statutory reserves on a coinsurance funds withheld quota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 basis, net of applicable existing reinsurance. This agreement has been amended several times to include additional FIA policies, with the latest amendment effective December 1,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summarizes our reinsurance recoverable as of December 31, 2025 and 2024:</w:t>
      </w:r>
    </w:p>
    <w:p>
      <w:pPr>
        <w:sectPr>
          <w:pgSz w:w="11900" w:h="16838" w:orient="portrait"/>
          <w:cols w:equalWidth="0" w:num="1">
            <w:col w:w="11280"/>
          </w:cols>
          <w:pgMar w:left="300" w:top="125" w:right="319" w:bottom="1440" w:gutter="0" w:footer="0" w:header="0"/>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Parent Company/</w:t>
            </w:r>
          </w:p>
        </w:tc>
        <w:tc>
          <w:tcPr>
            <w:tcW w:w="2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Reinsurance Recoverable (a)</w:t>
            </w:r>
          </w:p>
        </w:tc>
        <w:tc>
          <w:tcPr>
            <w:tcW w:w="80" w:type="dxa"/>
            <w:vAlign w:val="bottom"/>
          </w:tcPr>
          <w:p>
            <w:pPr>
              <w:spacing w:after="0"/>
              <w:rPr>
                <w:sz w:val="11"/>
                <w:szCs w:val="11"/>
                <w:color w:val="auto"/>
              </w:rPr>
            </w:pP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Agreement Type</w:t>
            </w:r>
          </w:p>
        </w:tc>
        <w:tc>
          <w:tcPr>
            <w:tcW w:w="0" w:type="dxa"/>
            <w:vAlign w:val="bottom"/>
          </w:tcPr>
          <w:p>
            <w:pPr>
              <w:spacing w:after="0"/>
              <w:rPr>
                <w:sz w:val="1"/>
                <w:szCs w:val="1"/>
                <w:color w:val="auto"/>
              </w:rPr>
            </w:pPr>
          </w:p>
        </w:tc>
      </w:tr>
      <w:tr>
        <w:trPr>
          <w:trHeight w:val="153"/>
        </w:trPr>
        <w:tc>
          <w:tcPr>
            <w:tcW w:w="26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Principal Reinsurers</w:t>
            </w:r>
          </w:p>
        </w:tc>
        <w:tc>
          <w:tcPr>
            <w:tcW w:w="24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Products</w:t>
            </w:r>
          </w:p>
        </w:tc>
        <w:tc>
          <w:tcPr>
            <w:tcW w:w="1280" w:type="dxa"/>
            <w:vAlign w:val="bottom"/>
            <w:vMerge w:val="restart"/>
          </w:tcPr>
          <w:p>
            <w:pPr>
              <w:ind w:left="740"/>
              <w:spacing w:after="0"/>
              <w:rPr>
                <w:sz w:val="20"/>
                <w:szCs w:val="20"/>
                <w:color w:val="auto"/>
              </w:rPr>
            </w:pPr>
            <w:r>
              <w:rPr>
                <w:rFonts w:ascii="Times New Roman" w:cs="Times New Roman" w:eastAsia="Times New Roman" w:hAnsi="Times New Roman"/>
                <w:sz w:val="11"/>
                <w:szCs w:val="11"/>
                <w:b w:val="1"/>
                <w:bCs w:val="1"/>
                <w:color w:val="auto"/>
                <w:w w:val="96"/>
              </w:rPr>
              <w:t>Accounting</w:t>
            </w:r>
          </w:p>
        </w:tc>
        <w:tc>
          <w:tcPr>
            <w:tcW w:w="0" w:type="dxa"/>
            <w:vAlign w:val="bottom"/>
          </w:tcPr>
          <w:p>
            <w:pPr>
              <w:spacing w:after="0"/>
              <w:rPr>
                <w:sz w:val="1"/>
                <w:szCs w:val="1"/>
                <w:color w:val="auto"/>
              </w:rPr>
            </w:pPr>
          </w:p>
        </w:tc>
      </w:tr>
      <w:tr>
        <w:trPr>
          <w:trHeight w:val="149"/>
        </w:trPr>
        <w:tc>
          <w:tcPr>
            <w:tcW w:w="1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Covered</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5080</wp:posOffset>
            </wp:positionV>
            <wp:extent cx="245237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52370" cy="6985"/>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2">
            <w:col w:w="6880" w:space="720"/>
            <w:col w:w="3680"/>
          </w:cols>
          <w:pgMar w:left="300" w:top="125" w:right="319" w:bottom="1440" w:gutter="0" w:footer="0" w:header="0"/>
          <w:type w:val="continuous"/>
        </w:sectPr>
      </w:pP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Aspida (b)</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Somerset Reinsurance Ltd. (c)</w:t>
      </w: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Everlake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Wilton Reassurance Company</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Fort Greene</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(f)</w:t>
      </w:r>
    </w:p>
    <w:p>
      <w:pPr>
        <w:spacing w:after="0" w:line="43" w:lineRule="exact"/>
        <w:rPr>
          <w:sz w:val="20"/>
          <w:szCs w:val="20"/>
          <w:color w:val="auto"/>
        </w:rPr>
      </w:pPr>
    </w:p>
    <w:p>
      <w:pPr>
        <w:ind w:left="20" w:right="180" w:firstLine="127"/>
        <w:spacing w:after="0" w:line="300" w:lineRule="auto"/>
        <w:rPr>
          <w:sz w:val="20"/>
          <w:szCs w:val="20"/>
          <w:color w:val="auto"/>
        </w:rPr>
      </w:pPr>
      <w:r>
        <w:rPr>
          <w:rFonts w:ascii="Times New Roman" w:cs="Times New Roman" w:eastAsia="Times New Roman" w:hAnsi="Times New Roman"/>
          <w:sz w:val="11"/>
          <w:szCs w:val="11"/>
          <w:color w:val="auto"/>
        </w:rPr>
        <w:t>Reinsurance recoverable, gross of allowance Allowance for expected credit loss</w:t>
      </w:r>
    </w:p>
    <w:p>
      <w:pPr>
        <w:ind w:left="140"/>
        <w:spacing w:after="0" w:line="263" w:lineRule="auto"/>
        <w:rPr>
          <w:sz w:val="20"/>
          <w:szCs w:val="20"/>
          <w:color w:val="auto"/>
        </w:rPr>
      </w:pPr>
      <w:r>
        <w:rPr>
          <w:rFonts w:ascii="Times New Roman" w:cs="Times New Roman" w:eastAsia="Times New Roman" w:hAnsi="Times New Roman"/>
          <w:sz w:val="11"/>
          <w:szCs w:val="11"/>
          <w:b w:val="1"/>
          <w:bCs w:val="1"/>
          <w:color w:val="auto"/>
        </w:rPr>
        <w:t>Reinsurance recoverable, net of allowance for expected credit losses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0"/>
        </w:trPr>
        <w:tc>
          <w:tcPr>
            <w:tcW w:w="4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8,589</w:t>
            </w:r>
          </w:p>
        </w:tc>
        <w:tc>
          <w:tcPr>
            <w:tcW w:w="80" w:type="dxa"/>
            <w:vAlign w:val="bottom"/>
          </w:tcPr>
          <w:p>
            <w:pPr>
              <w:spacing w:after="0"/>
              <w:rPr>
                <w:sz w:val="10"/>
                <w:szCs w:val="10"/>
                <w:color w:val="auto"/>
              </w:rPr>
            </w:pPr>
          </w:p>
        </w:tc>
        <w:tc>
          <w:tcPr>
            <w:tcW w:w="440" w:type="dxa"/>
            <w:vAlign w:val="bottom"/>
            <w:vMerge w:val="restart"/>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7,844</w:t>
            </w:r>
          </w:p>
        </w:tc>
        <w:tc>
          <w:tcPr>
            <w:tcW w:w="980" w:type="dxa"/>
            <w:vAlign w:val="bottom"/>
          </w:tcPr>
          <w:p>
            <w:pPr>
              <w:ind w:left="100"/>
              <w:spacing w:after="0" w:line="121" w:lineRule="exact"/>
              <w:rPr>
                <w:sz w:val="20"/>
                <w:szCs w:val="20"/>
                <w:color w:val="auto"/>
              </w:rPr>
            </w:pPr>
            <w:r>
              <w:rPr>
                <w:rFonts w:ascii="Times New Roman" w:cs="Times New Roman" w:eastAsia="Times New Roman" w:hAnsi="Times New Roman"/>
                <w:sz w:val="11"/>
                <w:szCs w:val="11"/>
                <w:color w:val="auto"/>
              </w:rPr>
              <w:t>Coinsurance Funds</w:t>
            </w:r>
          </w:p>
        </w:tc>
        <w:tc>
          <w:tcPr>
            <w:tcW w:w="0" w:type="dxa"/>
            <w:vAlign w:val="bottom"/>
          </w:tcPr>
          <w:p>
            <w:pPr>
              <w:spacing w:after="0"/>
              <w:rPr>
                <w:sz w:val="1"/>
                <w:szCs w:val="1"/>
                <w:color w:val="auto"/>
              </w:rPr>
            </w:pPr>
          </w:p>
        </w:tc>
      </w:tr>
      <w:tr>
        <w:trPr>
          <w:trHeight w:val="147"/>
        </w:trPr>
        <w:tc>
          <w:tcPr>
            <w:tcW w:w="4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Withheld</w:t>
            </w: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5,071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980" w:type="dxa"/>
            <w:vAlign w:val="bottom"/>
          </w:tcPr>
          <w:p>
            <w:pPr>
              <w:ind w:left="100"/>
              <w:spacing w:after="0" w:line="119" w:lineRule="exact"/>
              <w:rPr>
                <w:sz w:val="20"/>
                <w:szCs w:val="20"/>
                <w:color w:val="auto"/>
              </w:rPr>
            </w:pPr>
            <w:r>
              <w:rPr>
                <w:rFonts w:ascii="Times New Roman" w:cs="Times New Roman" w:eastAsia="Times New Roman" w:hAnsi="Times New Roman"/>
                <w:sz w:val="11"/>
                <w:szCs w:val="11"/>
                <w:color w:val="auto"/>
              </w:rPr>
              <w:t>Coinsurance Funds</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Withheld</w:t>
            </w:r>
          </w:p>
        </w:tc>
        <w:tc>
          <w:tcPr>
            <w:tcW w:w="0" w:type="dxa"/>
            <w:vAlign w:val="bottom"/>
          </w:tcPr>
          <w:p>
            <w:pPr>
              <w:spacing w:after="0"/>
              <w:rPr>
                <w:sz w:val="1"/>
                <w:szCs w:val="1"/>
                <w:color w:val="auto"/>
              </w:rPr>
            </w:pPr>
          </w:p>
        </w:tc>
      </w:tr>
      <w:tr>
        <w:trPr>
          <w:trHeight w:val="118"/>
        </w:trPr>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80" w:type="dxa"/>
            <w:vAlign w:val="bottom"/>
          </w:tcPr>
          <w:p>
            <w:pPr>
              <w:ind w:left="100"/>
              <w:spacing w:after="0" w:line="119" w:lineRule="exact"/>
              <w:rPr>
                <w:sz w:val="20"/>
                <w:szCs w:val="20"/>
                <w:color w:val="auto"/>
              </w:rPr>
            </w:pPr>
            <w:r>
              <w:rPr>
                <w:rFonts w:ascii="Times New Roman" w:cs="Times New Roman" w:eastAsia="Times New Roman" w:hAnsi="Times New Roman"/>
                <w:sz w:val="11"/>
                <w:szCs w:val="11"/>
                <w:color w:val="auto"/>
              </w:rPr>
              <w:t>Coinsurance Funds</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Withheld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1,168</w:t>
            </w: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Coinsurance</w:t>
            </w:r>
          </w:p>
        </w:tc>
        <w:tc>
          <w:tcPr>
            <w:tcW w:w="0" w:type="dxa"/>
            <w:vAlign w:val="bottom"/>
          </w:tcPr>
          <w:p>
            <w:pPr>
              <w:spacing w:after="0"/>
              <w:rPr>
                <w:sz w:val="1"/>
                <w:szCs w:val="1"/>
                <w:color w:val="auto"/>
              </w:rPr>
            </w:pPr>
          </w:p>
        </w:tc>
      </w:tr>
      <w:tr>
        <w:trPr>
          <w:trHeight w:val="159"/>
        </w:trPr>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1,066</w:t>
            </w: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Coinsurance</w:t>
            </w:r>
          </w:p>
        </w:tc>
        <w:tc>
          <w:tcPr>
            <w:tcW w:w="0" w:type="dxa"/>
            <w:vAlign w:val="bottom"/>
          </w:tcPr>
          <w:p>
            <w:pPr>
              <w:spacing w:after="0"/>
              <w:rPr>
                <w:sz w:val="1"/>
                <w:szCs w:val="1"/>
                <w:color w:val="auto"/>
              </w:rPr>
            </w:pPr>
          </w:p>
        </w:tc>
      </w:tr>
      <w:tr>
        <w:trPr>
          <w:trHeight w:val="129"/>
        </w:trPr>
        <w:tc>
          <w:tcPr>
            <w:tcW w:w="4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Coinsurance Funds</w:t>
            </w: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Withheld</w:t>
            </w:r>
          </w:p>
        </w:tc>
        <w:tc>
          <w:tcPr>
            <w:tcW w:w="0" w:type="dxa"/>
            <w:vAlign w:val="bottom"/>
          </w:tcPr>
          <w:p>
            <w:pPr>
              <w:spacing w:after="0"/>
              <w:rPr>
                <w:sz w:val="1"/>
                <w:szCs w:val="1"/>
                <w:color w:val="auto"/>
              </w:rPr>
            </w:pPr>
          </w:p>
        </w:tc>
      </w:tr>
      <w:tr>
        <w:trPr>
          <w:trHeight w:val="158"/>
        </w:trPr>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501</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17,563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13,389</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17,545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13,369</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-1647190</wp:posOffset>
            </wp:positionH>
            <wp:positionV relativeFrom="paragraph">
              <wp:posOffset>-1367155</wp:posOffset>
            </wp:positionV>
            <wp:extent cx="6528435" cy="168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28435" cy="16827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-1029970</wp:posOffset>
            </wp:positionV>
            <wp:extent cx="6528435" cy="168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28435" cy="16827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-760730</wp:posOffset>
            </wp:positionV>
            <wp:extent cx="6528435" cy="1009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28435" cy="10096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-491490</wp:posOffset>
            </wp:positionV>
            <wp:extent cx="6528435" cy="10096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28435" cy="100965"/>
                    </a:xfrm>
                    <a:prstGeom prst="rect">
                      <a:avLst/>
                    </a:prstGeom>
                    <a:noFill/>
                  </pic:spPr>
                </pic:pic>
              </a:graphicData>
            </a:graphic>
          </wp:anchor>
        </w:drawing>
        <w:drawing>
          <wp:anchor simplePos="0" relativeHeight="251657728" behindDoc="1" locked="0" layoutInCell="0" allowOverlap="1">
            <wp:simplePos x="0" y="0"/>
            <wp:positionH relativeFrom="column">
              <wp:posOffset>-1647190</wp:posOffset>
            </wp:positionH>
            <wp:positionV relativeFrom="paragraph">
              <wp:posOffset>-282575</wp:posOffset>
            </wp:positionV>
            <wp:extent cx="6528435" cy="1009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28435" cy="1009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1"/>
          <w:szCs w:val="11"/>
          <w:color w:val="auto"/>
        </w:rPr>
        <w:t>Certain MYGA</w:t>
      </w:r>
      <w:r>
        <w:rPr>
          <w:sz w:val="20"/>
          <w:szCs w:val="20"/>
          <w:color w:val="auto"/>
        </w:rPr>
        <w:tab/>
      </w:r>
      <w:r>
        <w:rPr>
          <w:rFonts w:ascii="Times New Roman" w:cs="Times New Roman" w:eastAsia="Times New Roman" w:hAnsi="Times New Roman"/>
          <w:sz w:val="10"/>
          <w:szCs w:val="10"/>
          <w:color w:val="auto"/>
        </w:rPr>
        <w:t>Deposit</w:t>
      </w:r>
    </w:p>
    <w:p>
      <w:pPr>
        <w:spacing w:after="0" w:line="13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1"/>
          <w:szCs w:val="11"/>
          <w:color w:val="auto"/>
        </w:rPr>
        <w:t>Certain MYGA and deferred annuities</w:t>
      </w:r>
      <w:r>
        <w:rPr>
          <w:sz w:val="20"/>
          <w:szCs w:val="20"/>
          <w:color w:val="auto"/>
        </w:rPr>
        <w:tab/>
      </w:r>
      <w:r>
        <w:rPr>
          <w:rFonts w:ascii="Times New Roman" w:cs="Times New Roman" w:eastAsia="Times New Roman" w:hAnsi="Times New Roman"/>
          <w:sz w:val="10"/>
          <w:szCs w:val="10"/>
          <w:color w:val="auto"/>
        </w:rPr>
        <w:t>Deposit</w:t>
      </w:r>
    </w:p>
    <w:p>
      <w:pPr>
        <w:spacing w:after="0" w:line="13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1"/>
          <w:szCs w:val="11"/>
          <w:color w:val="auto"/>
        </w:rPr>
        <w:t>Certain FIA</w:t>
      </w:r>
      <w:r>
        <w:rPr>
          <w:sz w:val="20"/>
          <w:szCs w:val="20"/>
          <w:color w:val="auto"/>
        </w:rPr>
        <w:tab/>
      </w:r>
      <w:r>
        <w:rPr>
          <w:rFonts w:ascii="Times New Roman" w:cs="Times New Roman" w:eastAsia="Times New Roman" w:hAnsi="Times New Roman"/>
          <w:sz w:val="11"/>
          <w:szCs w:val="11"/>
          <w:color w:val="auto"/>
        </w:rPr>
        <w:t>Reinsurance</w:t>
      </w:r>
    </w:p>
    <w:p>
      <w:pPr>
        <w:spacing w:after="0" w:line="3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1"/>
          <w:szCs w:val="11"/>
          <w:color w:val="auto"/>
        </w:rPr>
        <w:t>Certain MYGA (d)</w:t>
      </w:r>
      <w:r>
        <w:rPr>
          <w:sz w:val="20"/>
          <w:szCs w:val="20"/>
          <w:color w:val="auto"/>
        </w:rPr>
        <w:tab/>
      </w:r>
      <w:r>
        <w:rPr>
          <w:rFonts w:ascii="Times New Roman" w:cs="Times New Roman" w:eastAsia="Times New Roman" w:hAnsi="Times New Roman"/>
          <w:sz w:val="10"/>
          <w:szCs w:val="10"/>
          <w:color w:val="auto"/>
        </w:rPr>
        <w:t>Deposit</w:t>
      </w:r>
    </w:p>
    <w:p>
      <w:pPr>
        <w:spacing w:after="0" w:line="33"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1"/>
          <w:szCs w:val="11"/>
          <w:color w:val="auto"/>
        </w:rPr>
        <w:t>Block of traditional, IUL, and UL (e)</w:t>
      </w:r>
      <w:r>
        <w:rPr>
          <w:sz w:val="20"/>
          <w:szCs w:val="20"/>
          <w:color w:val="auto"/>
        </w:rPr>
        <w:tab/>
      </w:r>
      <w:r>
        <w:rPr>
          <w:rFonts w:ascii="Times New Roman" w:cs="Times New Roman" w:eastAsia="Times New Roman" w:hAnsi="Times New Roman"/>
          <w:sz w:val="11"/>
          <w:szCs w:val="11"/>
          <w:color w:val="auto"/>
        </w:rPr>
        <w:t>Reinsurance</w:t>
      </w:r>
    </w:p>
    <w:p>
      <w:pPr>
        <w:spacing w:after="0" w:line="139"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1"/>
          <w:szCs w:val="11"/>
          <w:color w:val="auto"/>
        </w:rPr>
        <w:t>Certain FIA</w:t>
      </w:r>
      <w:r>
        <w:rPr>
          <w:sz w:val="20"/>
          <w:szCs w:val="20"/>
          <w:color w:val="auto"/>
        </w:rPr>
        <w:tab/>
      </w:r>
      <w:r>
        <w:rPr>
          <w:rFonts w:ascii="Times New Roman" w:cs="Times New Roman" w:eastAsia="Times New Roman" w:hAnsi="Times New Roman"/>
          <w:sz w:val="10"/>
          <w:szCs w:val="10"/>
          <w:color w:val="auto"/>
        </w:rPr>
        <w:t>Deposit</w:t>
      </w:r>
    </w:p>
    <w:p>
      <w:pPr>
        <w:spacing w:after="0" w:line="934" w:lineRule="exact"/>
        <w:rPr>
          <w:sz w:val="20"/>
          <w:szCs w:val="20"/>
          <w:color w:val="auto"/>
        </w:rPr>
      </w:pPr>
    </w:p>
    <w:p>
      <w:pPr>
        <w:sectPr>
          <w:pgSz w:w="11900" w:h="16838" w:orient="portrait"/>
          <w:cols w:equalWidth="0" w:num="3">
            <w:col w:w="2340" w:space="260"/>
            <w:col w:w="3380" w:space="460"/>
            <w:col w:w="4840"/>
          </w:cols>
          <w:pgMar w:left="300" w:top="125" w:right="319" w:bottom="1440" w:gutter="0" w:footer="0" w:header="0"/>
          <w:type w:val="continuous"/>
        </w:sect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Reinsurance recoverables do not include unearned ceded premiums that would be recovered in the event of early termination of certain traditional life policies.</w:t>
      </w:r>
    </w:p>
    <w:p>
      <w:pPr>
        <w:spacing w:after="0" w:line="85"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Aspida Life Re Ltd. and Aspida Re Cayman Ltd.</w:t>
      </w:r>
    </w:p>
    <w:p>
      <w:pPr>
        <w:spacing w:after="0" w:line="20"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balance represents the total reinsurance recoverable for all reinsurance agreements with Somerset.</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Reinsurance recoverable is collateralized by assets placed in a statutory comfort trust by the reinsurer and maintained for our sole benefit.</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Also includes certain FGL Insurance life insurance policies that are subject to redundant reserves, reported on a statutory basis, under Regulation XXX and Guideline AXXX.</w:t>
      </w:r>
    </w:p>
    <w:p>
      <w:pPr>
        <w:spacing w:after="0" w:line="11"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all other reinsurers, with no single reinsurer having a carrying value in excess of 5% of total reinsurance recoverable.</w:t>
      </w:r>
    </w:p>
    <w:p>
      <w:pPr>
        <w:spacing w:after="0" w:line="18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 xml:space="preserve">As of December 31, 2025 and 2024, the Company had a deposit asset of </w:t>
      </w:r>
      <w:r>
        <w:rPr>
          <w:rFonts w:ascii="Times New Roman" w:cs="Times New Roman" w:eastAsia="Times New Roman" w:hAnsi="Times New Roman"/>
          <w:sz w:val="12"/>
          <w:szCs w:val="12"/>
          <w:color w:val="auto"/>
        </w:rPr>
        <w:t>$13,279</w:t>
      </w:r>
      <w:r>
        <w:rPr>
          <w:rFonts w:ascii="Times New Roman" w:cs="Times New Roman" w:eastAsia="Times New Roman" w:hAnsi="Times New Roman"/>
          <w:sz w:val="14"/>
          <w:szCs w:val="14"/>
          <w:color w:val="auto"/>
        </w:rPr>
        <w:t xml:space="preserve"> million and </w:t>
      </w:r>
      <w:r>
        <w:rPr>
          <w:rFonts w:ascii="Times New Roman" w:cs="Times New Roman" w:eastAsia="Times New Roman" w:hAnsi="Times New Roman"/>
          <w:sz w:val="12"/>
          <w:szCs w:val="12"/>
          <w:color w:val="auto"/>
        </w:rPr>
        <w:t>$11,039</w:t>
      </w:r>
      <w:r>
        <w:rPr>
          <w:rFonts w:ascii="Times New Roman" w:cs="Times New Roman" w:eastAsia="Times New Roman" w:hAnsi="Times New Roman"/>
          <w:sz w:val="14"/>
          <w:szCs w:val="14"/>
          <w:color w:val="auto"/>
        </w:rPr>
        <w:t xml:space="preserve"> million, respectively, which is reported in the Reinsurance recoverable, net of allowance for credit losses on the Consolidated Balance Sheets.</w:t>
      </w:r>
    </w:p>
    <w:p>
      <w:pPr>
        <w:spacing w:after="0" w:line="39" w:lineRule="exact"/>
        <w:rPr>
          <w:sz w:val="20"/>
          <w:szCs w:val="20"/>
          <w:color w:val="auto"/>
        </w:rPr>
      </w:pPr>
    </w:p>
    <w:p>
      <w:pPr>
        <w:jc w:val="both"/>
        <w:ind w:firstLine="255"/>
        <w:spacing w:after="0" w:line="263" w:lineRule="auto"/>
        <w:rPr>
          <w:sz w:val="20"/>
          <w:szCs w:val="20"/>
          <w:color w:val="auto"/>
        </w:rPr>
      </w:pPr>
      <w:r>
        <w:rPr>
          <w:rFonts w:ascii="Times New Roman" w:cs="Times New Roman" w:eastAsia="Times New Roman" w:hAnsi="Times New Roman"/>
          <w:sz w:val="14"/>
          <w:szCs w:val="14"/>
          <w:color w:val="auto"/>
        </w:rPr>
        <w:t>The Company incurred risk charge fees of $42 million, $42 million, and $39 million during the years ended December 31, 2025, 2024, and 2023, respectively, in relation to reinsurance agreements.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Losses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estimates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expected credit loss reserves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80" w:type="dxa"/>
            <w:vAlign w:val="bottom"/>
            <w:tcBorders>
              <w:bottom w:val="single" w:sz="8" w:color="auto"/>
            </w:tcBorders>
          </w:tcPr>
          <w:p>
            <w:pPr>
              <w:spacing w:after="0"/>
              <w:rPr>
                <w:sz w:val="13"/>
                <w:szCs w:val="13"/>
                <w:color w:val="auto"/>
              </w:rPr>
            </w:pPr>
          </w:p>
        </w:tc>
      </w:tr>
      <w:tr>
        <w:trPr>
          <w:trHeight w:val="154"/>
        </w:trPr>
        <w:tc>
          <w:tcPr>
            <w:tcW w:w="6960" w:type="dxa"/>
            <w:vAlign w:val="bottom"/>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6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8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3"/>
                <w:szCs w:val="13"/>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Beginning of Period</w:t>
            </w: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Changes in the expected credit loss reserve</w:t>
            </w:r>
          </w:p>
        </w:tc>
        <w:tc>
          <w:tcPr>
            <w:tcW w:w="9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End of Period</w:t>
            </w:r>
          </w:p>
        </w:tc>
        <w:tc>
          <w:tcPr>
            <w:tcW w:w="98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Reinsurance Risk</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indicated above, the Company has a significant concentration of reinsurance risk with third party reinsurers, Aspida, Somerset Reinsurance Ltd (“Somerset Re”), Everlake, Wilton Reassurance (“Wilton Re”), and Fort Greene that could have a material impact on our financial position in the event that any of these reinsurers fails to perform its obligations under the various reinsurance treaties. We monitor the financial condition and financial strength of individual reinsurers using public ratings (refer to table below) and ratings reports of individual reinsurers to attempt to reduce the risk of default by such reinsurers. In addition, the risk of non-performance is further mitigated with various forms of collateral or collateral arrangements, including secured trusts, funds withheld accounts and irrevocable letters of credit. We believe that all amounts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due from Aspida, Somerset Re, Everlake, Wilton Re, and Fort Greene for periodic treaty settlements, net of any applicable credit loss reserves, are collectible as of December 31, 2025: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40" w:type="dxa"/>
            <w:vAlign w:val="bottom"/>
          </w:tcPr>
          <w:p>
            <w:pPr>
              <w:spacing w:after="0"/>
              <w:rPr>
                <w:sz w:val="13"/>
                <w:szCs w:val="13"/>
                <w:color w:val="auto"/>
              </w:rPr>
            </w:pPr>
          </w:p>
        </w:tc>
        <w:tc>
          <w:tcPr>
            <w:tcW w:w="6080" w:type="dxa"/>
            <w:vAlign w:val="bottom"/>
            <w:gridSpan w:val="3"/>
          </w:tcPr>
          <w:p>
            <w:pPr>
              <w:ind w:left="740"/>
              <w:spacing w:after="0"/>
              <w:rPr>
                <w:sz w:val="20"/>
                <w:szCs w:val="20"/>
                <w:color w:val="auto"/>
              </w:rPr>
            </w:pPr>
            <w:r>
              <w:rPr>
                <w:rFonts w:ascii="Times New Roman" w:cs="Times New Roman" w:eastAsia="Times New Roman" w:hAnsi="Times New Roman"/>
                <w:sz w:val="11"/>
                <w:szCs w:val="11"/>
                <w:b w:val="1"/>
                <w:bCs w:val="1"/>
                <w:color w:val="auto"/>
              </w:rPr>
              <w:t>Parent Company/Principal Reinsurers</w:t>
            </w:r>
          </w:p>
        </w:tc>
        <w:tc>
          <w:tcPr>
            <w:tcW w:w="2640" w:type="dxa"/>
            <w:vAlign w:val="bottom"/>
            <w:gridSpan w:val="4"/>
          </w:tcPr>
          <w:p>
            <w:pPr>
              <w:ind w:left="640"/>
              <w:spacing w:after="0"/>
              <w:rPr>
                <w:sz w:val="20"/>
                <w:szCs w:val="20"/>
                <w:color w:val="auto"/>
              </w:rPr>
            </w:pPr>
            <w:r>
              <w:rPr>
                <w:rFonts w:ascii="Times New Roman" w:cs="Times New Roman" w:eastAsia="Times New Roman" w:hAnsi="Times New Roman"/>
                <w:sz w:val="11"/>
                <w:szCs w:val="11"/>
                <w:b w:val="1"/>
                <w:bCs w:val="1"/>
                <w:color w:val="auto"/>
              </w:rPr>
              <w:t>Financial Strength Rating</w:t>
            </w:r>
          </w:p>
        </w:tc>
        <w:tc>
          <w:tcPr>
            <w:tcW w:w="1220" w:type="dxa"/>
            <w:vAlign w:val="bottom"/>
          </w:tcPr>
          <w:p>
            <w:pPr>
              <w:spacing w:after="0"/>
              <w:rPr>
                <w:sz w:val="13"/>
                <w:szCs w:val="13"/>
                <w:color w:val="auto"/>
              </w:rPr>
            </w:pPr>
          </w:p>
        </w:tc>
      </w:tr>
      <w:tr>
        <w:trPr>
          <w:trHeight w:val="154"/>
        </w:trPr>
        <w:tc>
          <w:tcPr>
            <w:tcW w:w="13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32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AM Best</w:t>
            </w: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S&amp;P</w:t>
            </w:r>
          </w:p>
        </w:tc>
        <w:tc>
          <w:tcPr>
            <w:tcW w:w="13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Fitch</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Moody's</w:t>
            </w:r>
          </w:p>
        </w:tc>
      </w:tr>
      <w:tr>
        <w:trPr>
          <w:trHeight w:val="155"/>
        </w:trPr>
        <w:tc>
          <w:tcPr>
            <w:tcW w:w="1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Aspida</w:t>
            </w:r>
          </w:p>
        </w:tc>
        <w:tc>
          <w:tcPr>
            <w:tcW w:w="47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A-</w:t>
            </w:r>
          </w:p>
        </w:tc>
        <w:tc>
          <w:tcPr>
            <w:tcW w:w="8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Somerset Re</w:t>
            </w:r>
          </w:p>
        </w:tc>
        <w:tc>
          <w:tcPr>
            <w:tcW w:w="476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BBB+</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6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Everlake</w:t>
            </w:r>
          </w:p>
        </w:tc>
        <w:tc>
          <w:tcPr>
            <w:tcW w:w="47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53"/>
        </w:trPr>
        <w:tc>
          <w:tcPr>
            <w:tcW w:w="1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Wilton Re</w:t>
            </w:r>
          </w:p>
        </w:tc>
        <w:tc>
          <w:tcPr>
            <w:tcW w:w="4760" w:type="dxa"/>
            <w:vAlign w:val="bottom"/>
          </w:tcPr>
          <w:p>
            <w:pPr>
              <w:spacing w:after="0"/>
              <w:rPr>
                <w:sz w:val="13"/>
                <w:szCs w:val="13"/>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A-</w:t>
            </w:r>
          </w:p>
        </w:tc>
        <w:tc>
          <w:tcPr>
            <w:tcW w:w="12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r>
        <w:trPr>
          <w:trHeight w:val="165"/>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Fort Greene</w:t>
            </w:r>
          </w:p>
        </w:tc>
        <w:tc>
          <w:tcPr>
            <w:tcW w:w="47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w w:val="90"/>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indicates not rated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Intercompany Reinsurance Agreements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Company executes various intercompany reinsurance agreements between its insurance subsidiaries, including off shore entities, for purposes of managing regulatory statutory capital and risk. Since these agreements are intercompany, the financial impacts are eliminated in the preparation of the Consolidated Financial Statements included within this Annual Report on Form 10-K.</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Some of these intercompany transactions are executed with wholly owned reinsurance subsidiaries, Corbeau Re, Inc. (“Corbeau Re”), Raven Reinsurance Company (“Raven Re”), and F&amp;G Cayman Re (“Cayman Re”), to finance the portion of statutory reserves considered to be non-economic. The financing arrangements involve Fidelity &amp; Guaranty Life Insurance Company reinsuring certain annuity products and their related rider benefits to the captives and the captives executing third-party financing facilities that are classified as capital for statutory purposes.</w:t>
      </w:r>
    </w:p>
    <w:p>
      <w:pPr>
        <w:spacing w:after="0" w:line="5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The transactions with Raven Re and Cayman Re included the execution of letter of credits with Nomura Bank International plc (“NBI”) and Deutsche Bank AG, respectively, that are undrawn and have maximum borrowing capacities of $150 million and $610 million, respectively, as of December 31, 2025. The transaction with Corbeau Re included the execution of an excess of loss agreement (“XOL”) with Canada Life Barbados Branch that matures on December 31, 2043, and provides for coverage on losses up to $2,400 million as of December 31, 2025. With Corbeau Re, non-economic reserves were financed through the maturity date of the XOL and statutory reserves are recorded for all risks expected to be incurred after the maturity date of the XOL.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O — Regulation and Equity</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Title</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that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that set rates, to states where individual companies or associations of companies prepare rate filings that are submitted for approval, to a few states in which rate changes do not need to be filed for approval.</w:t>
      </w:r>
    </w:p>
    <w:p>
      <w:pPr>
        <w:spacing w:after="0" w:line="6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Since we are regulated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18"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 xml:space="preserve">Statutory-basis financial statements are prepared in accordance with accounting practices prescribed or permitted by the various state insurance regulatory authorities. The National Association of Insurance Commissioners' </w:t>
      </w:r>
      <w:r>
        <w:rPr>
          <w:rFonts w:ascii="Times New Roman" w:cs="Times New Roman" w:eastAsia="Times New Roman" w:hAnsi="Times New Roman"/>
          <w:sz w:val="14"/>
          <w:szCs w:val="14"/>
          <w:i w:val="1"/>
          <w:iCs w:val="1"/>
          <w:color w:val="auto"/>
        </w:rPr>
        <w:t>Accounting Practices and Procedures</w:t>
      </w:r>
      <w:r>
        <w:rPr>
          <w:rFonts w:ascii="Times New Roman" w:cs="Times New Roman" w:eastAsia="Times New Roman" w:hAnsi="Times New Roman"/>
          <w:sz w:val="14"/>
          <w:szCs w:val="14"/>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2025 and 2024 was lower by approximately $32 million and $33 million than if we had reported such amounts in accordance with NAIC SAP.</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2025, the combined statutory unearned premium reserve required and reported for our title insurers was $1,619 million. In addition to statutory unearned premium reserves, each of our insurers maintains reserves for known claims and surplus funds for policyholder protection and business operations.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2025, $1,141 million of our net assets are restricted from dividend payments without prior approval from the Departments of Insurance. During 2026, our title insurers can pay or make distributions to us of approximately $437 million, without prior approval.</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combined statutory capital and surplus of our title insurers was approximately $1,273 million and $1,223 million as of December 31, 2025 and 2024, respectively. The combined statutory net earnings of our title insurance subsidiaries were $488 million, $587 million, and $503 million for the years ended December 31, 2025, 2024, and 2023, respectively.</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39" w:lineRule="exact"/>
        <w:rPr>
          <w:sz w:val="20"/>
          <w:szCs w:val="20"/>
          <w:color w:val="auto"/>
        </w:rPr>
      </w:pPr>
    </w:p>
    <w:p>
      <w:pPr>
        <w:jc w:val="both"/>
        <w:ind w:firstLine="269"/>
        <w:spacing w:after="0" w:line="287" w:lineRule="auto"/>
        <w:rPr>
          <w:sz w:val="20"/>
          <w:szCs w:val="20"/>
          <w:color w:val="auto"/>
        </w:rPr>
      </w:pPr>
      <w:r>
        <w:rPr>
          <w:rFonts w:ascii="Times New Roman" w:cs="Times New Roman" w:eastAsia="Times New Roman" w:hAnsi="Times New Roman"/>
          <w:sz w:val="14"/>
          <w:szCs w:val="14"/>
          <w:color w:val="auto"/>
        </w:rPr>
        <w:t>Pursuant to statutory requirements of the various states in which our insurers are domiciled, such insurers must maintain certain levels of minimum capital and surplus. Required levels of minimum capital and surplus are not significant to the insurers individually or in the aggregate. Each of our insurers has complied with the minimum statutory requirements as of December 31, 2025.</w:t>
      </w:r>
    </w:p>
    <w:p>
      <w:pPr>
        <w:spacing w:after="0" w:line="39" w:lineRule="exact"/>
        <w:rPr>
          <w:sz w:val="20"/>
          <w:szCs w:val="20"/>
          <w:color w:val="auto"/>
        </w:rPr>
      </w:pPr>
    </w:p>
    <w:p>
      <w:pPr>
        <w:jc w:val="both"/>
        <w:ind w:firstLine="269"/>
        <w:spacing w:after="0" w:line="270" w:lineRule="auto"/>
        <w:rPr>
          <w:sz w:val="20"/>
          <w:szCs w:val="20"/>
          <w:color w:val="auto"/>
        </w:rPr>
      </w:pPr>
      <w:r>
        <w:rPr>
          <w:rFonts w:ascii="Times New Roman" w:cs="Times New Roman" w:eastAsia="Times New Roman" w:hAnsi="Times New Roman"/>
          <w:sz w:val="14"/>
          <w:szCs w:val="14"/>
          <w:color w:val="auto"/>
        </w:rPr>
        <w:t>Our underwritten title companies, primarily those domiciled in California, are also subject to certain regulation by insurance regulatory or banking authorities relating to their net worth and working capital. Minimum net worth and working capital requirements for each underwritten title company is less than $1 million. These companies were in compliance with their respective minimum net worth and working capital requirements at December 31, 2025.</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are no restrictions on our retained earnings regarding our ability to pay dividends to shareholders although there are limits on the ability of certain subsidiaries to pay dividends to us, as described above.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F&amp;G</w:t>
      </w:r>
    </w:p>
    <w:p>
      <w:pPr>
        <w:spacing w:after="0" w:line="96"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Through our majority owned F&amp;G subsidiary, our insurance subsidiaries, FGL Insurance, FGL NY Insurance, Raven Re and Corbeau Re file financial statements with state insurance regulatory authorities and, except for Raven Re, with the National Association of Insurance Commissioners (“NAIC”) that are prepared in accordance with Statutory Accounting Principles (“SAP”) prescribed or permitted by such authorities. Prescribed SAP includes the Accounting Practices and Procedures Manual of the NAIC as well as state laws, regulations and administrative rules. Permitted SAP encompasses all accounting practices not prescribed but approved by state regulators. The principal differences between SAP financial statements and financial statements prepared in accordance with GAAP are that SAP financial statements do not reflect VOBA, DAC, and DSI,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F&amp;G's non-U.S. insurance subsidiaries, F&amp;G Life Re (Bermuda) and F&amp;G Cayman Re (Cayman Islands), file financial statements with their respective regulators.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In our F&amp;G segment, our principal insurance subsidiaries' statutory financial statements are based on a December 31 year end. Statutory net income and statutory capital and surplus of our wholly owned U.S. regulated insurance subsidiaries were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8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gridSpan w:val="3"/>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Subsidiary (state of domicile) (a)</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r>
      <w:tr>
        <w:trPr>
          <w:trHeight w:val="150"/>
        </w:trPr>
        <w:tc>
          <w:tcPr>
            <w:tcW w:w="2880" w:type="dxa"/>
            <w:vAlign w:val="bottom"/>
          </w:tcPr>
          <w:p>
            <w:pPr>
              <w:spacing w:after="0"/>
              <w:rPr>
                <w:sz w:val="13"/>
                <w:szCs w:val="13"/>
                <w:color w:val="auto"/>
              </w:rPr>
            </w:pPr>
          </w:p>
        </w:tc>
        <w:tc>
          <w:tcPr>
            <w:tcW w:w="16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FGL Insurance (IA)</w:t>
            </w:r>
          </w:p>
        </w:tc>
        <w:tc>
          <w:tcPr>
            <w:tcW w:w="4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FGL NY Insurance (NY)</w:t>
            </w:r>
          </w:p>
        </w:tc>
        <w:tc>
          <w:tcPr>
            <w:tcW w:w="3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Raven Re (VT)</w:t>
            </w: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Corbeau Re (VT)</w:t>
            </w:r>
          </w:p>
        </w:tc>
      </w:tr>
      <w:tr>
        <w:trPr>
          <w:trHeight w:val="154"/>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Net (loss) income:</w:t>
            </w:r>
          </w:p>
        </w:tc>
        <w:tc>
          <w:tcPr>
            <w:tcW w:w="1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020" w:type="dxa"/>
            <w:vAlign w:val="bottom"/>
            <w:gridSpan w:val="2"/>
          </w:tcPr>
          <w:p>
            <w:pPr>
              <w:jc w:val="right"/>
              <w:ind w:right="12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4"/>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2025</w:t>
            </w:r>
          </w:p>
        </w:tc>
        <w:tc>
          <w:tcPr>
            <w:tcW w:w="1620" w:type="dxa"/>
            <w:vAlign w:val="bottom"/>
            <w:shd w:val="clear" w:color="auto" w:fill="CCEEFF"/>
          </w:tcPr>
          <w:p>
            <w:pPr>
              <w:jc w:val="right"/>
              <w:ind w:right="148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w:t>
            </w:r>
          </w:p>
        </w:tc>
        <w:tc>
          <w:tcPr>
            <w:tcW w:w="1740" w:type="dxa"/>
            <w:vAlign w:val="bottom"/>
            <w:shd w:val="clear" w:color="auto" w:fill="CCEEFF"/>
          </w:tcPr>
          <w:p>
            <w:pPr>
              <w:jc w:val="right"/>
              <w:ind w:right="15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29</w:t>
            </w:r>
          </w:p>
        </w:tc>
        <w:tc>
          <w:tcPr>
            <w:tcW w:w="1660" w:type="dxa"/>
            <w:vAlign w:val="bottom"/>
            <w:shd w:val="clear" w:color="auto" w:fill="CCEEFF"/>
          </w:tcPr>
          <w:p>
            <w:pPr>
              <w:jc w:val="right"/>
              <w:ind w:right="14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4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shd w:val="clear" w:color="auto" w:fill="CCEEFF"/>
          </w:tcPr>
          <w:p>
            <w:pPr>
              <w:jc w:val="center"/>
              <w:ind w:left="1363"/>
              <w:spacing w:after="0"/>
              <w:rPr>
                <w:sz w:val="20"/>
                <w:szCs w:val="20"/>
                <w:color w:val="auto"/>
              </w:rPr>
            </w:pPr>
            <w:r>
              <w:rPr>
                <w:rFonts w:ascii="Times New Roman" w:cs="Times New Roman" w:eastAsia="Times New Roman" w:hAnsi="Times New Roman"/>
                <w:sz w:val="11"/>
                <w:szCs w:val="11"/>
                <w:color w:val="auto"/>
              </w:rPr>
              <w:t>(201)</w:t>
            </w: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1620" w:type="dxa"/>
            <w:vAlign w:val="bottom"/>
          </w:tcPr>
          <w:p>
            <w:pPr>
              <w:spacing w:after="0"/>
              <w:rPr>
                <w:sz w:val="13"/>
                <w:szCs w:val="13"/>
                <w:color w:val="auto"/>
              </w:rPr>
            </w:pPr>
          </w:p>
        </w:tc>
        <w:tc>
          <w:tcPr>
            <w:tcW w:w="4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150</w:t>
            </w:r>
          </w:p>
        </w:tc>
        <w:tc>
          <w:tcPr>
            <w:tcW w:w="1740" w:type="dxa"/>
            <w:vAlign w:val="bottom"/>
          </w:tcPr>
          <w:p>
            <w:pPr>
              <w:spacing w:after="0"/>
              <w:rPr>
                <w:sz w:val="13"/>
                <w:szCs w:val="13"/>
                <w:color w:val="auto"/>
              </w:rPr>
            </w:pP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w:t>
            </w:r>
          </w:p>
        </w:tc>
        <w:tc>
          <w:tcPr>
            <w:tcW w:w="1660" w:type="dxa"/>
            <w:vAlign w:val="bottom"/>
          </w:tcPr>
          <w:p>
            <w:pPr>
              <w:spacing w:after="0"/>
              <w:rPr>
                <w:sz w:val="13"/>
                <w:szCs w:val="13"/>
                <w:color w:val="auto"/>
              </w:rPr>
            </w:pP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w:t>
            </w:r>
          </w:p>
        </w:tc>
        <w:tc>
          <w:tcPr>
            <w:tcW w:w="400" w:type="dxa"/>
            <w:vAlign w:val="bottom"/>
          </w:tcPr>
          <w:p>
            <w:pPr>
              <w:spacing w:after="0"/>
              <w:rPr>
                <w:sz w:val="13"/>
                <w:szCs w:val="13"/>
                <w:color w:val="auto"/>
              </w:rPr>
            </w:pPr>
          </w:p>
        </w:tc>
        <w:tc>
          <w:tcPr>
            <w:tcW w:w="1700" w:type="dxa"/>
            <w:vAlign w:val="bottom"/>
          </w:tcPr>
          <w:p>
            <w:pPr>
              <w:jc w:val="center"/>
              <w:ind w:left="1363"/>
              <w:spacing w:after="0"/>
              <w:rPr>
                <w:sz w:val="20"/>
                <w:szCs w:val="20"/>
                <w:color w:val="auto"/>
              </w:rPr>
            </w:pPr>
            <w:r>
              <w:rPr>
                <w:rFonts w:ascii="Times New Roman" w:cs="Times New Roman" w:eastAsia="Times New Roman" w:hAnsi="Times New Roman"/>
                <w:sz w:val="11"/>
                <w:szCs w:val="11"/>
                <w:color w:val="auto"/>
              </w:rPr>
              <w:t>(458)</w:t>
            </w:r>
          </w:p>
        </w:tc>
      </w:tr>
      <w:tr>
        <w:trPr>
          <w:trHeight w:val="16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16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(462)</w:t>
            </w:r>
          </w:p>
        </w:tc>
        <w:tc>
          <w:tcPr>
            <w:tcW w:w="17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5</w:t>
            </w:r>
          </w:p>
        </w:tc>
        <w:tc>
          <w:tcPr>
            <w:tcW w:w="16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w:t>
            </w:r>
          </w:p>
        </w:tc>
        <w:tc>
          <w:tcPr>
            <w:tcW w:w="4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left="1363"/>
              <w:spacing w:after="0"/>
              <w:rPr>
                <w:sz w:val="20"/>
                <w:szCs w:val="20"/>
                <w:color w:val="auto"/>
              </w:rPr>
            </w:pPr>
            <w:r>
              <w:rPr>
                <w:rFonts w:ascii="Times New Roman" w:cs="Times New Roman" w:eastAsia="Times New Roman" w:hAnsi="Times New Roman"/>
                <w:sz w:val="11"/>
                <w:szCs w:val="11"/>
                <w:color w:val="auto"/>
              </w:rPr>
              <w:t>(644)</w:t>
            </w:r>
          </w:p>
        </w:tc>
      </w:tr>
      <w:tr>
        <w:trPr>
          <w:trHeight w:val="170"/>
        </w:trPr>
        <w:tc>
          <w:tcPr>
            <w:tcW w:w="2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5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Capital and Surplus:</w:t>
            </w:r>
          </w:p>
        </w:tc>
        <w:tc>
          <w:tcPr>
            <w:tcW w:w="1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r>
      <w:tr>
        <w:trPr>
          <w:trHeight w:val="153"/>
        </w:trPr>
        <w:tc>
          <w:tcPr>
            <w:tcW w:w="28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2025</w:t>
            </w:r>
          </w:p>
        </w:tc>
        <w:tc>
          <w:tcPr>
            <w:tcW w:w="1620" w:type="dxa"/>
            <w:vAlign w:val="bottom"/>
          </w:tcPr>
          <w:p>
            <w:pPr>
              <w:jc w:val="right"/>
              <w:ind w:right="148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1,735</w:t>
            </w:r>
          </w:p>
        </w:tc>
        <w:tc>
          <w:tcPr>
            <w:tcW w:w="1740" w:type="dxa"/>
            <w:vAlign w:val="bottom"/>
          </w:tcPr>
          <w:p>
            <w:pPr>
              <w:jc w:val="right"/>
              <w:ind w:right="156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122</w:t>
            </w:r>
          </w:p>
        </w:tc>
        <w:tc>
          <w:tcPr>
            <w:tcW w:w="1660" w:type="dxa"/>
            <w:vAlign w:val="bottom"/>
          </w:tcPr>
          <w:p>
            <w:pPr>
              <w:jc w:val="right"/>
              <w:ind w:right="1463"/>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182</w:t>
            </w:r>
          </w:p>
        </w:tc>
        <w:tc>
          <w:tcPr>
            <w:tcW w:w="40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tcPr>
          <w:p>
            <w:pPr>
              <w:jc w:val="center"/>
              <w:ind w:left="1383"/>
              <w:spacing w:after="0"/>
              <w:rPr>
                <w:sz w:val="20"/>
                <w:szCs w:val="20"/>
                <w:color w:val="auto"/>
              </w:rPr>
            </w:pPr>
            <w:r>
              <w:rPr>
                <w:rFonts w:ascii="Times New Roman" w:cs="Times New Roman" w:eastAsia="Times New Roman" w:hAnsi="Times New Roman"/>
                <w:sz w:val="11"/>
                <w:szCs w:val="11"/>
                <w:color w:val="auto"/>
              </w:rPr>
              <w:t>236</w:t>
            </w:r>
          </w:p>
        </w:tc>
      </w:tr>
      <w:tr>
        <w:trPr>
          <w:trHeight w:val="16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16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1,654</w:t>
            </w:r>
          </w:p>
        </w:tc>
        <w:tc>
          <w:tcPr>
            <w:tcW w:w="17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97</w:t>
            </w:r>
          </w:p>
        </w:tc>
        <w:tc>
          <w:tcPr>
            <w:tcW w:w="166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168</w:t>
            </w:r>
          </w:p>
        </w:tc>
        <w:tc>
          <w:tcPr>
            <w:tcW w:w="400" w:type="dxa"/>
            <w:vAlign w:val="bottom"/>
            <w:shd w:val="clear" w:color="auto" w:fill="CCEEFF"/>
          </w:tcPr>
          <w:p>
            <w:pPr>
              <w:spacing w:after="0"/>
              <w:rPr>
                <w:sz w:val="14"/>
                <w:szCs w:val="14"/>
                <w:color w:val="auto"/>
              </w:rPr>
            </w:pPr>
          </w:p>
        </w:tc>
        <w:tc>
          <w:tcPr>
            <w:tcW w:w="1700" w:type="dxa"/>
            <w:vAlign w:val="bottom"/>
            <w:shd w:val="clear" w:color="auto" w:fill="CCEEFF"/>
          </w:tcPr>
          <w:p>
            <w:pPr>
              <w:jc w:val="center"/>
              <w:ind w:left="1383"/>
              <w:spacing w:after="0"/>
              <w:rPr>
                <w:sz w:val="20"/>
                <w:szCs w:val="20"/>
                <w:color w:val="auto"/>
              </w:rPr>
            </w:pPr>
            <w:r>
              <w:rPr>
                <w:rFonts w:ascii="Times New Roman" w:cs="Times New Roman" w:eastAsia="Times New Roman" w:hAnsi="Times New Roman"/>
                <w:sz w:val="11"/>
                <w:szCs w:val="11"/>
                <w:color w:val="auto"/>
              </w:rPr>
              <w:t>178</w:t>
            </w: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FGL NY Insurance, Raven Re and Corbeau Re are subsidiaries of FGL Insurance, and the columns should not be added together. Corbeau Re was incorporated on September 1, 2023.</w:t>
      </w:r>
    </w:p>
    <w:p>
      <w:pPr>
        <w:spacing w:after="0" w:line="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 - U.S. Companies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FGL Insurance, FGL NY Insurance, Raven Re and Corbeau Re’s respective statutory capital and surplus satisfy the applicable minimum regulatory requirements.</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To enhance the regulation of insurers’ solvency, the NAIC adopted a model law to implement risk-based capital ("RBC") requirements for life, health and property and casualty insurance companies. All states have adopted the NAIC’s model law or a substantially similar law. RBC is used to evaluate the adequacy of capital and surplus maintained by an insurance company in relation to risks associated with: (i) asset risk, (ii) insurance risk, (iii) interest rate risk, and (iv) business risk. As of the most recent annual statutory financial statements filed with insurance regulators, the RBC ratios for each of our U.S Insurance Companies exceeded the minimum RBC requirements.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Dividends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insurance laws of Iowa and New York regulate the amount of dividends that may be paid in any year by FGL Insurance and FGL NY Insurance, respectively.</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FGL Insurance dividends are paid as declared by its Board of Directors. Pursuant to Iowa insurance law, any proposed payment of a dividend is classified as an "extraordinary dividend" if it, together with the aggregate fair market value of other dividends or distributions made during the preceding twelve months, exceeds the greater of (i) 10% of capital and surplus as of the preceding December 31 or (ii) net gain from operations before realized capital gains or losses for the twelve month period ending December 31 of the preceding year. No extraordinary dividends may be paid without prior approval of the IID. In addition, no ordinary dividends may be paid except from the earned profits arising from FGL Insurance's business, which does not include contributed capital or contributed surplus.</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FGL Insurance did not pay dividends to its parent, Fidelity &amp; Guaranty Life Holdings, Inc. ("FGLH"), for the years ended December 31, 2025, 2024, and 2023. Pursuant to the limitations described above, it is estimated that FGL Insurance's maximum ordinary dividend capacity for 2026 is $0.</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Each year, FGL NY Insurance may pay a certain limited amount of ordinary dividends or other distributions without being required to obtain the prior consent of the New York State Department of Financial Services (“NYDFS”). However, to pay any dividends or distributions in a calendar year immediately following a calendar year in which the FGL NY's net gain from operations, not including realized capital gains, was negative, approval from the NY Superintendent is required.</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FGL NY Insurance has historically not paid dividends. Based on the limitations described above, it's estimated that the maximum amount of ordinary dividends FGL NY Insurance will be permitted to distribute during 2026 is approximately $27 million.</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Raven Re and Corbeau Re dividends are paid as declared by their Board of Directors. Under the laws of the State of Vermont, no captive insurance company may pay a dividend out of, or other distribution with respect to, capital or surplus, without the prior approval of the Commissioner.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Prescribed and permitted practices</w:t>
      </w:r>
    </w:p>
    <w:p>
      <w:pPr>
        <w:spacing w:after="0" w:line="94" w:lineRule="exact"/>
        <w:rPr>
          <w:sz w:val="20"/>
          <w:szCs w:val="20"/>
          <w:color w:val="auto"/>
        </w:rPr>
      </w:pPr>
    </w:p>
    <w:p>
      <w:pPr>
        <w:jc w:val="both"/>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FGL Insurance </w:t>
      </w:r>
      <w:r>
        <w:rPr>
          <w:rFonts w:ascii="Times New Roman" w:cs="Times New Roman" w:eastAsia="Times New Roman" w:hAnsi="Times New Roman"/>
          <w:sz w:val="14"/>
          <w:szCs w:val="14"/>
          <w:color w:val="auto"/>
        </w:rPr>
        <w:t>- FGL Insurance applies Iowa-prescribed accounting practices prescribed by Iowa Administrative Code (" IAC ") Chapter 97, “Accounting for Certain Derivative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Used to Hedge the Growth in Interest Credited for Indexed Insurance Products and Accounting for the Indexed Insurance Products Reserve”, for its indexed annuities and IUL products. Under these alternative accounting practices, the equity option derivative instruments that hedge the growth in interest credited on index products are accounted for at amortized cost with the corresponding amortization recorded as a decrease to net investment income and indexed annuity reserves are calculated based on Standard Valuation Law and Actuarial Guideline XXXV assuming the market value of the equity options associated with the current index term is zero regardless of the observable market value for such options.</w:t>
      </w:r>
    </w:p>
    <w:p>
      <w:pPr>
        <w:spacing w:after="0" w:line="57"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based on a permitted practice received from the IID, FGL Insurance carries one of its limited partnership interests which qualifies for accounting under SSAP No. 48, “Investments in Joint Ventures, Partnerships and Limited Liability Companies”, on a net asset value per share basis. This is a departure from SSAP No. 48 which requires such investments to be carried based on the investees underlying GAAP equity (prior to any impairment considerations). This limited partnership investment was redeemed as of December 31, 2025. In addition, the financial statements of Raven Re and Corbeau Re include certain permitted practices approved by the Vermont Department of Financial Regulation. Without such permitted statutory accounting practices, Raven Re’s risk-based capital would have been above the minimum regulatory requirements at December 31, 2025, but would have fallen below the minimum regulatory requirements at December 31, 2024. Without such permitted statutory accounting practices, Corbeau Re’s risk-based capital would have fallen below the minimum regulatory requirements as of December 31, 2025 and 2024.</w:t>
      </w:r>
    </w:p>
    <w:p>
      <w:pPr>
        <w:spacing w:after="0" w:line="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prescribed and permitted practices resulted in increases to statutory capital and surplus of $249 million and $454 million at December 31, 2025 and 2024, respectively.</w:t>
      </w:r>
    </w:p>
    <w:p>
      <w:pPr>
        <w:spacing w:after="0" w:line="9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FGL Insurance’s statutory carrying value of Raven Re reflects the effect of permitted practices Raven Re received to treat the available amount of a letter of credit as an admitted asset, which increased Raven Re’s statutory capital and surplus by $150 million and $175 million at December 31, 2025 and 2024, respectively. In addition, FGL Insurance’s statutory carrying value of Corbeau Re reflects the effect of permitted practices Corbeau Re received to treat the excess of loss as an admitted asset, which increased Corbeau Re’s statutory capital and surplus by $1,489 million and $1,230 million at December 31, 2025 and 2024, respectively. Refer to Note N F&amp;G Reinsurance for a discussion of the XOL and letter of credit.</w:t>
      </w:r>
    </w:p>
    <w:p>
      <w:pPr>
        <w:spacing w:after="0" w:line="54" w:lineRule="exact"/>
        <w:rPr>
          <w:sz w:val="20"/>
          <w:szCs w:val="20"/>
          <w:color w:val="auto"/>
        </w:rPr>
      </w:pPr>
    </w:p>
    <w:p>
      <w:pPr>
        <w:jc w:val="both"/>
        <w:ind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Raven Re </w:t>
      </w:r>
      <w:r>
        <w:rPr>
          <w:rFonts w:ascii="Times New Roman" w:cs="Times New Roman" w:eastAsia="Times New Roman" w:hAnsi="Times New Roman"/>
          <w:sz w:val="14"/>
          <w:szCs w:val="14"/>
          <w:color w:val="auto"/>
        </w:rPr>
        <w:t>- Raven Re is also permitted to follow Iowa prescribed statutory accounting practice for its reserves on reinsurance assumed from FGL Insurance and also has approval to include as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admitted asset the value of a letter of credit serving as collateral for reinsurance credit taken by FGL Insurance. Without such permitted statutory accounting practices, Raven Re’s statutory capital and surplus (deficit) would be $29 million and $(13) million as of December 31, 2025 and 2024, respectively, thus its risk-based capital would fall below the minimum regulatory requirements in the prior year. The letter of credit facility is collateralized by NAIC 1 rated debt securities. If the permitted practice was revoked, the letter of credit could be replaced by the collateral assets with Nomura’s consent (refer to discussion of letter of credit in Note N </w:t>
      </w:r>
      <w:r>
        <w:rPr>
          <w:rFonts w:ascii="Times New Roman" w:cs="Times New Roman" w:eastAsia="Times New Roman" w:hAnsi="Times New Roman"/>
          <w:sz w:val="14"/>
          <w:szCs w:val="14"/>
          <w:i w:val="1"/>
          <w:iCs w:val="1"/>
          <w:color w:val="auto"/>
        </w:rPr>
        <w:t>F&amp;G Reinsurance</w:t>
      </w:r>
      <w:r>
        <w:rPr>
          <w:rFonts w:ascii="Times New Roman" w:cs="Times New Roman" w:eastAsia="Times New Roman" w:hAnsi="Times New Roman"/>
          <w:sz w:val="14"/>
          <w:szCs w:val="14"/>
          <w:color w:val="auto"/>
        </w:rPr>
        <w:t>). FGL Insurance’s statutory carrying value of Raven Re was $182 million and $168 million at December 31, 2025 and 2024, respectively.</w:t>
      </w:r>
    </w:p>
    <w:p>
      <w:pPr>
        <w:spacing w:after="0" w:line="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Corbeau Re </w:t>
      </w:r>
      <w:r>
        <w:rPr>
          <w:rFonts w:ascii="Times New Roman" w:cs="Times New Roman" w:eastAsia="Times New Roman" w:hAnsi="Times New Roman"/>
          <w:sz w:val="14"/>
          <w:szCs w:val="14"/>
          <w:color w:val="auto"/>
        </w:rPr>
        <w:t>- Corbeau Re has four permitted practices pursuant to Vermont Statute, Title 8, Chapter 141 – (8 V.S.A. § 6048k(a)(2), whereby the Vermont Department authorizes the Company to</w:t>
      </w:r>
    </w:p>
    <w:p>
      <w:pPr>
        <w:spacing w:after="0" w:line="25" w:lineRule="exact"/>
        <w:rPr>
          <w:sz w:val="20"/>
          <w:szCs w:val="20"/>
          <w:color w:val="auto"/>
        </w:rPr>
      </w:pPr>
    </w:p>
    <w:p>
      <w:pPr>
        <w:jc w:val="both"/>
        <w:ind w:firstLine="5"/>
        <w:spacing w:after="0" w:line="254" w:lineRule="auto"/>
        <w:tabs>
          <w:tab w:leader="none" w:pos="17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account for the amount equal to the excess of loss amount (“XOL Asset”) as an asset on its statutory financial statements; (ii) that the reserves assumed by Corbeau Re are equal to the reserves ceded by FGL Insurance, which includes application of IAC Insurance 191, Chapter 97, </w:t>
      </w:r>
      <w:r>
        <w:rPr>
          <w:rFonts w:ascii="Times New Roman" w:cs="Times New Roman" w:eastAsia="Times New Roman" w:hAnsi="Times New Roman"/>
          <w:sz w:val="14"/>
          <w:szCs w:val="14"/>
          <w:i w:val="1"/>
          <w:iCs w:val="1"/>
          <w:color w:val="auto"/>
        </w:rPr>
        <w:t>“Accounting for Certain Derivative Instruments Used to Hedge the Growth in Interest Credited for Indexed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Insurance Products and Accounting for the Indexed Insurance Products Reserve</w:t>
      </w:r>
      <w:r>
        <w:rPr>
          <w:rFonts w:ascii="Times New Roman" w:cs="Times New Roman" w:eastAsia="Times New Roman" w:hAnsi="Times New Roman"/>
          <w:sz w:val="14"/>
          <w:szCs w:val="14"/>
          <w:color w:val="auto"/>
        </w:rPr>
        <w:t>“ and to (a) calculate the reserves with respect to the Retirement Pro Contracts in accordance with the following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reserving methodology: the reserves are calculated as the present value of reinsured benefits when account value equals zero less the present value of reinsurance premiums from the winning integrated stream, floored at zero and capped as necessary to keep the net statutory reserve at the net cash surrender value; and (b) for benefits associated with all other contracts (“the GMWB Riders”), the reserves are calculated as the statutory reserves for the entire contract (i.e., the base contracts plus the GMWB Riders) minus the statutory reserves for the base contracts only (“Reserve Calculation Permitted Practice”); (iii) calculate its company action level risk-based capital as defined in Section 8301(13)(A) and, calculated using the risk-based capital factors and formulas prescribed by the NAIC, applying a factor of 0.62% to the XOL Asset Value; and (iv) annually perform a total company solvency analysis in lieu of cash flow testing and actuarial opinion and memorandum under Section 2010-2 of the Vermont Administrative Code. Without such permitted statutory accounting practices, the Company’s statutory capital deficit would be $1,253 million and $1,052 million as of December 31, 2025 and 2024, respectively, and its risk-based capital would fall below the minimum regulatory requirements. FGL Insurance’s statutory carrying value of Corbeau Re was $236 million and $178 million at December 31, 2025 and 2024,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both"/>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FGL NY Insurance </w:t>
      </w:r>
      <w:r>
        <w:rPr>
          <w:rFonts w:ascii="Times New Roman" w:cs="Times New Roman" w:eastAsia="Times New Roman" w:hAnsi="Times New Roman"/>
          <w:sz w:val="14"/>
          <w:szCs w:val="14"/>
          <w:color w:val="auto"/>
        </w:rPr>
        <w:t>- As of December 31, 2025 and 2024, FGL NY Insurance did not follow any prescribed or permitted statutory accounting practices that differ from the NAIC's statutory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practices.</w:t>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Non-U.S. Companies</w:t>
      </w:r>
    </w:p>
    <w:p>
      <w:pPr>
        <w:spacing w:after="0" w:line="9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F&amp;G's non-U.S. insurance subsidiaries, F&amp;G Cayman Re and F&amp;G Life Re, file financial statements with their respective regulators. For the annual period ended December 31, 2023, F&amp;G Cayman Re began to file financial statements that are prepared in accordance with SAP prescribed or permitted by such authorities, which may vary materially from GAAP. Accordingly, SAP operating results and SAP capital and surplus may differ substantially from amounts reported in the GAAP basis financial statements for comparable items.</w:t>
      </w:r>
    </w:p>
    <w:p>
      <w:pPr>
        <w:spacing w:after="0" w:line="5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F&amp;G Cayman Re has two permitted practices which have been approved by the Cayman Islands Monetary Authority (“CIMA”). F&amp;G Cayman Re has a permitted practice approved by CIMA to include, as an admitted asset, the value of the letters of credit (“LOCs”) acquired to support reinsurance transactions. Also, F&amp;G Cayman Re has a permitted practice, approved by CIMA, for PRT reinsurance transactions to use U.S. statutory book value adjusted for best estimate reserve calculations (consistent with GAAP prior to Accounting Standards Update ("ASU") 2018-12, Financial Services-Insurance (Topic 944), Targeted Improvements to the Accounting for Long-Duration Contracts). These reserve calculations will be subject to annual assumption reviews consistent with other GAAP liability balances. If F&amp;G Cayman Re had not been permitted to calculate PRT assumed reserves using best estimate reserve calculations or include the value of the LOCs as an admitted asset, statutory surplus (deficit) would be $20 million and $(64) million as of December 31, 2025 and 2024, respectively. Without such permitted statutory accounting practices, F&amp;G Cayman Re’s risk-based capital would fall below the minimum regulatory requirements as of December 31, 2025 and December 31, 2024.</w:t>
      </w:r>
    </w:p>
    <w:p>
      <w:pPr>
        <w:spacing w:after="0" w:line="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Life Re files financial statements based on GAAP.</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and capital and surplus of our wholly owned Cayman Islands and Bermuda regulated insurance subsidiaries under SAP and GAAP, respectively,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2"/>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Subsidiary (country of domicile)</w:t>
            </w: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jc w:val="right"/>
              <w:ind w:right="163"/>
              <w:spacing w:after="0" w:line="108" w:lineRule="exact"/>
              <w:rPr>
                <w:sz w:val="20"/>
                <w:szCs w:val="20"/>
                <w:color w:val="auto"/>
              </w:rPr>
            </w:pPr>
            <w:r>
              <w:rPr>
                <w:rFonts w:ascii="Times New Roman" w:cs="Times New Roman" w:eastAsia="Times New Roman" w:hAnsi="Times New Roman"/>
                <w:sz w:val="11"/>
                <w:szCs w:val="11"/>
                <w:b w:val="1"/>
                <w:bCs w:val="1"/>
                <w:color w:val="auto"/>
              </w:rPr>
              <w:t>F&amp;G Cayman Re (Cayman</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F&amp;G Life Re (Bermuda)</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restart"/>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Islands)</w:t>
            </w:r>
          </w:p>
        </w:tc>
        <w:tc>
          <w:tcPr>
            <w:tcW w:w="1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780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vMerge w:val="continue"/>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Net (loss) income:</w:t>
            </w:r>
          </w:p>
        </w:tc>
        <w:tc>
          <w:tcPr>
            <w:tcW w:w="120" w:type="dxa"/>
            <w:vAlign w:val="bottom"/>
          </w:tcPr>
          <w:p>
            <w:pPr>
              <w:spacing w:after="0"/>
              <w:rPr>
                <w:sz w:val="13"/>
                <w:szCs w:val="13"/>
                <w:color w:val="auto"/>
              </w:rPr>
            </w:pPr>
          </w:p>
        </w:tc>
        <w:tc>
          <w:tcPr>
            <w:tcW w:w="3120" w:type="dxa"/>
            <w:vAlign w:val="bottom"/>
            <w:gridSpan w:val="2"/>
          </w:tcPr>
          <w:p>
            <w:pPr>
              <w:jc w:val="right"/>
              <w:ind w:right="1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1520" w:type="dxa"/>
            <w:vAlign w:val="bottom"/>
            <w:shd w:val="clear" w:color="auto" w:fill="CCEEFF"/>
          </w:tcPr>
          <w:p>
            <w:pPr>
              <w:jc w:val="right"/>
              <w:ind w:right="13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0" w:type="dxa"/>
            <w:vAlign w:val="bottom"/>
          </w:tcPr>
          <w:p>
            <w:pPr>
              <w:spacing w:after="0"/>
              <w:rPr>
                <w:sz w:val="1"/>
                <w:szCs w:val="1"/>
                <w:color w:val="auto"/>
              </w:rPr>
            </w:pPr>
          </w:p>
        </w:tc>
      </w:tr>
      <w:tr>
        <w:trPr>
          <w:trHeight w:val="153"/>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12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5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6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133</w:t>
            </w:r>
          </w:p>
        </w:tc>
        <w:tc>
          <w:tcPr>
            <w:tcW w:w="15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0" w:type="dxa"/>
            <w:vAlign w:val="bottom"/>
          </w:tcPr>
          <w:p>
            <w:pPr>
              <w:spacing w:after="0"/>
              <w:rPr>
                <w:sz w:val="1"/>
                <w:szCs w:val="1"/>
                <w:color w:val="auto"/>
              </w:rPr>
            </w:pPr>
          </w:p>
        </w:tc>
      </w:tr>
      <w:tr>
        <w:trPr>
          <w:trHeight w:val="154"/>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Statutory Capital and Surplus (Deficit):</w:t>
            </w: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December 31, 2025</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1,134</w:t>
            </w:r>
          </w:p>
        </w:tc>
        <w:tc>
          <w:tcPr>
            <w:tcW w:w="1520" w:type="dxa"/>
            <w:vAlign w:val="bottom"/>
            <w:shd w:val="clear" w:color="auto" w:fill="CCEEFF"/>
          </w:tcPr>
          <w:p>
            <w:pPr>
              <w:jc w:val="right"/>
              <w:ind w:right="1343"/>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0" w:type="dxa"/>
            <w:vAlign w:val="bottom"/>
          </w:tcPr>
          <w:p>
            <w:pPr>
              <w:spacing w:after="0"/>
              <w:rPr>
                <w:sz w:val="1"/>
                <w:szCs w:val="1"/>
                <w:color w:val="auto"/>
              </w:rPr>
            </w:pPr>
          </w:p>
        </w:tc>
      </w:tr>
      <w:tr>
        <w:trPr>
          <w:trHeight w:val="147"/>
        </w:trPr>
        <w:tc>
          <w:tcPr>
            <w:tcW w:w="7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December 31, 2024</w:t>
            </w:r>
          </w:p>
        </w:tc>
        <w:tc>
          <w:tcPr>
            <w:tcW w:w="120" w:type="dxa"/>
            <w:vAlign w:val="bottom"/>
          </w:tcPr>
          <w:p>
            <w:pPr>
              <w:spacing w:after="0"/>
              <w:rPr>
                <w:sz w:val="12"/>
                <w:szCs w:val="12"/>
                <w:color w:val="auto"/>
              </w:rPr>
            </w:pPr>
          </w:p>
        </w:tc>
        <w:tc>
          <w:tcPr>
            <w:tcW w:w="160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734</w:t>
            </w:r>
          </w:p>
        </w:tc>
        <w:tc>
          <w:tcPr>
            <w:tcW w:w="15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 - Bermuda</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F&amp;G Life Re is a Bermuda exempted company incorporated under the Companies Act 1981, as amended (the “Bermuda Companies Act”) and registered as a Class E insurer under the Insurance Act 1978, as amended, and its related regulations (the “Bermuda Insurance Act”). F&amp;G Life Re is regulated by the Bermuda Monetary Authority (“BMA”).</w:t>
      </w:r>
    </w:p>
    <w:p>
      <w:pPr>
        <w:spacing w:after="0" w:line="39"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addition to the requirements under the Bermuda Companies Act (as discussed below), the Bermuda Insurance Act limits the maximum amount of annual dividends and distributions that may be paid or distributed by F&amp;G Life Re without prior regulatory approval. F&amp;G Life Re is prohibited from declaring or paying a dividend if it fails to meet its minimum solvency margin, or ECR, or if the declaration or payment of such dividend would cause such breach. If F&amp;G Life Re were to fail to meet its minimum solvency margin on the last day of any financial year, it would be prohibited from declaring or paying any dividends during the next financial year without the approval of the BMA. In addition, as a Class E insurer, F&amp;G Life Re must not declare or pay a dividend to any person other than a policyholder unless the value of the assets of such insurer, as certified by the insurer’s approved actuary, exceeds its liabilities (as so certified) by the greater of its margin of solvency or ECR. In the event a dividend complies with the above, F&amp;G Life Re must ensure the amount of any such dividend does not exceed that excess.</w:t>
      </w:r>
    </w:p>
    <w:p>
      <w:pPr>
        <w:spacing w:after="0" w:line="61"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Furthermore, as a Class E insurer, F&amp;G Life Re must not declare or pay a dividend in any financial year which would exceed 25% of its total statutory capital and surplus, as set out in its previous year’s Bermuda statutory financial statements, unless at least seven days before payment of such dividend F&amp;G Life Re files with the BMA an affidavit signed by at least two directors of F&amp;G Life Re and its principal representative under the Bermuda Insurance Act stating that, in the opinion of those signing, declaration of such dividend has not caused the insurer to fail to meet its relevant margins. The Bermuda Companies Act also limits F&amp;G Life Re’s ability to pay dividends and make distributions to its shareholders. F&amp;G Life Re is not permitted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declare or pay a dividend, or make a distribution out of its contributed surplus, if it is, or would after the payment be, unable to pay its liabilities as they become due or if the realizable value of its assets would be less than its liabilities.</w:t>
      </w:r>
    </w:p>
    <w:p>
      <w:pPr>
        <w:spacing w:after="0" w:line="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F&amp;G Life Re’s ability to pay dividends in 2026 is subject to the limitations described above.</w:t>
      </w:r>
    </w:p>
    <w:p>
      <w:pPr>
        <w:spacing w:after="0" w:line="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Regulation - Cayman Islands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F&amp;G Cayman Re is a Cayman Islands exempted company incorporated under the Companies Act, as amended (2023 Revision) and licensed as a Class D insurer in the Cayman Islands under the Insurance Act, 2010 as amended and its related regulation (the “Cayman Islands Insurance Act”). F&amp;G Cayman Re is regulated by CIMA.</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F&amp;G Cayman Re dividends are paid as declared by its Board of Directors. The dividends will be in accordance with CIMA regulatory requirements and contractual obligations and any dividends require approval by CIMA. F&amp;G Cayman Re can only request approval for dividends if (i) the ending capital, including considerations for future business plans, will maintain a surplus over the CIMA approved and permitted target modified RBC, and (ii) contractual language pursuant to the PRT reinsurance agreement requiring a US RBC above specified target is met. As of the most recent annual financial statement filed with CIMA, the RBC ratios for F&amp;G Cayman Re exceeded these minimum requirements. Pursuant to the limitations described above, no dividends may be paid in 2026 by F&amp;G Cayman Re without prior regulatory approval.</w:t>
      </w:r>
    </w:p>
    <w:p>
      <w:pPr>
        <w:spacing w:after="0" w:line="58" w:lineRule="exact"/>
        <w:rPr>
          <w:sz w:val="20"/>
          <w:szCs w:val="20"/>
          <w:color w:val="auto"/>
        </w:rPr>
      </w:pPr>
    </w:p>
    <w:p>
      <w:pPr>
        <w:ind w:left="260" w:right="1180"/>
        <w:spacing w:after="0" w:line="379" w:lineRule="auto"/>
        <w:rPr>
          <w:sz w:val="20"/>
          <w:szCs w:val="20"/>
          <w:color w:val="auto"/>
        </w:rPr>
      </w:pPr>
      <w:r>
        <w:rPr>
          <w:rFonts w:ascii="Times New Roman" w:cs="Times New Roman" w:eastAsia="Times New Roman" w:hAnsi="Times New Roman"/>
          <w:sz w:val="14"/>
          <w:szCs w:val="14"/>
          <w:color w:val="auto"/>
        </w:rPr>
        <w:t xml:space="preserve">The prescribed and permitted statutory accounting practices have no impact on our audited Consolidated Financial Statements, which are prepared in accordance with GAAP. </w:t>
      </w:r>
      <w:r>
        <w:rPr>
          <w:rFonts w:ascii="Times New Roman" w:cs="Times New Roman" w:eastAsia="Times New Roman" w:hAnsi="Times New Roman"/>
          <w:sz w:val="14"/>
          <w:szCs w:val="14"/>
          <w:b w:val="1"/>
          <w:bCs w:val="1"/>
          <w:i w:val="1"/>
          <w:iCs w:val="1"/>
          <w:color w:val="auto"/>
        </w:rPr>
        <w:t>Equity</w:t>
      </w:r>
    </w:p>
    <w:p>
      <w:pPr>
        <w:spacing w:after="0" w:line="1"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On August 3, 2021, our Board of Directors approved the 2021 Repurchase Program under which we may purchase up to 25 million shares of our FNF common stock through July 31, 2024 (the "2021 Repurchase Program"). On July 31, 2024, our Board of Directors approved a new three-year stock repurchase program effective July 31, 2024 (the "2024 Repurchase Program") under which we are authorized to purchase up to 25 million shares of our FNF common stock through July 31, 2027. We may make repurchases from time to time in the open market, in block purchases or in privately negotiated transactions, depending on market conditions and other factors. During the year ended December 31, 2024, we did not repurchase any FNF common stock under the 2021 Repurchase Program or the 2024 Repurchase Program. During the year ended December 31, 2025, we repurchased a total of 4,426,224 FNF common shares for approximately $252 million, at an average price of $56.80 per shares under the 2024 Repurchase Program. Subsequent to December 31, 2025 and through market close on February 19, 2026, we repurchased a total of 60,000 shares, for approximately $3 million, or an average of $55.66 under the 2024 Repurchase Program.</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P - Leases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Right-of-use assets and lease liabilities related to operating leases under ASC Topic 842 are recorded when we are party to a contract, which conveys the right for us to control an asset for a specified period of time. Substantially all of our operating lease arrangements relate to rented office space and real estate for our title operations. We generally are not a party to any material contracts considered finance leases. Right-of-use assets and lease liabilities under ASC Topic 842 are recorded as Lease assets and Lease liabilities, respectively, on the Consolidated Balance Sheet as of December 31, 2025.</w:t>
      </w:r>
    </w:p>
    <w:p>
      <w:pPr>
        <w:spacing w:after="0" w:line="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operating leases range in term from one to ten years. As of December 31, 2025, the weighted-average remaining lease term of our operating leases was 4.2 years.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lease agreements do not contain material variable lease payments, buyout options, residual value guarantees, or restrictive covenants.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Most of our leases include one or more options to renew, with renewal terms that can extend the lease term by varying amounts. The exercise of lease renewal options is at our sole discretion. We do not include options to renew in our measurement of lease assets and lease liabilities as they are not considered reasonably assured of exercise.</w:t>
      </w:r>
    </w:p>
    <w:p>
      <w:pPr>
        <w:spacing w:after="0" w:line="39"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Our operating lease liability is determined by discounting future lease payments using a discount rate based on our incremental borrowing rate for similar collateralized borrowing. The discount rate is calculated as an average of the current yield on our unsecured notes payable and 140 basis points in excess of the current five year SOFR swap rate. As of December 31, 2025, the weighted-average discount rate used to determine our operating lease liability was 5.0%.</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separate lease components from non-lease components for any of our right-of-use assets.</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Our lease costs are included in Other operating expenses on the Consolidated Statements of Earnings and was $130 million, $134 million, and $137 million for the years ended December 31, 2025, 2024, and 2023, respectively. We do not have any material short term lease costs, variable lease costs, or sublease income.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Future payments under operating lease arrangements accounted for under ASC Topic 842 as of December 31, 2025, are as follows (in millions):</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vMerge w:val="continue"/>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2026</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2027</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2028</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2029</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2030</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Thereafter</w:t>
            </w:r>
          </w:p>
        </w:tc>
        <w:tc>
          <w:tcPr>
            <w:tcW w:w="7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operating lease payments, undiscounted</w:t>
            </w:r>
          </w:p>
        </w:tc>
        <w:tc>
          <w:tcPr>
            <w:tcW w:w="7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40" w:type="dxa"/>
            <w:vAlign w:val="bottom"/>
            <w:tcBorders>
              <w:bottom w:val="single" w:sz="8" w:color="auto"/>
            </w:tcBorders>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2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Less: present value discount</w:t>
            </w: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Lease liability, at present value</w:t>
            </w:r>
          </w:p>
        </w:tc>
        <w:tc>
          <w:tcPr>
            <w:tcW w:w="7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Borders>
              <w:top w:val="single" w:sz="8" w:color="CCEEFF"/>
              <w:bottom w:val="single" w:sz="8" w:color="CCEEFF"/>
            </w:tcBorders>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 xml:space="preserve">See Note J </w:t>
            </w:r>
            <w:r>
              <w:rPr>
                <w:rFonts w:ascii="Times New Roman" w:cs="Times New Roman" w:eastAsia="Times New Roman" w:hAnsi="Times New Roman"/>
                <w:sz w:val="14"/>
                <w:szCs w:val="14"/>
                <w:i w:val="1"/>
                <w:iCs w:val="1"/>
                <w:color w:val="auto"/>
              </w:rPr>
              <w:t>Supplementary Cash Flow Information</w:t>
            </w:r>
            <w:r>
              <w:rPr>
                <w:rFonts w:ascii="Times New Roman" w:cs="Times New Roman" w:eastAsia="Times New Roman" w:hAnsi="Times New Roman"/>
                <w:sz w:val="14"/>
                <w:szCs w:val="14"/>
                <w:color w:val="auto"/>
              </w:rPr>
              <w:t xml:space="preserve"> for certain information on noncash investing and financing activities related to our operating lease arrangements.</w:t>
            </w:r>
          </w:p>
        </w:tc>
        <w:tc>
          <w:tcPr>
            <w:tcW w:w="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96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Q - Property and Equipment</w:t>
            </w:r>
          </w:p>
        </w:tc>
        <w:tc>
          <w:tcPr>
            <w:tcW w:w="7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consist of the following:</w:t>
            </w:r>
          </w:p>
        </w:tc>
        <w:tc>
          <w:tcPr>
            <w:tcW w:w="780" w:type="dxa"/>
            <w:vAlign w:val="bottom"/>
          </w:tcPr>
          <w:p>
            <w:pPr>
              <w:spacing w:after="0"/>
              <w:rPr>
                <w:sz w:val="24"/>
                <w:szCs w:val="24"/>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gridSpan w:val="4"/>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Furniture, fixtures and equipment</w:t>
            </w:r>
          </w:p>
        </w:tc>
        <w:tc>
          <w:tcPr>
            <w:tcW w:w="780" w:type="dxa"/>
            <w:vAlign w:val="bottom"/>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c>
          <w:tcPr>
            <w:tcW w:w="40" w:type="dxa"/>
            <w:vAlign w:val="bottom"/>
          </w:tcPr>
          <w:p>
            <w:pPr>
              <w:spacing w:after="0"/>
              <w:rPr>
                <w:sz w:val="13"/>
                <w:szCs w:val="13"/>
                <w:color w:val="auto"/>
              </w:rPr>
            </w:pPr>
          </w:p>
        </w:tc>
        <w:tc>
          <w:tcPr>
            <w:tcW w:w="440" w:type="dxa"/>
            <w:vAlign w:val="bottom"/>
            <w:gridSpan w:val="2"/>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Data processing equipment</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Leasehold improvements</w:t>
            </w:r>
          </w:p>
        </w:tc>
        <w:tc>
          <w:tcPr>
            <w:tcW w:w="78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Buildings</w:t>
            </w:r>
          </w:p>
        </w:tc>
        <w:tc>
          <w:tcPr>
            <w:tcW w:w="7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1"/>
                <w:szCs w:val="11"/>
                <w:color w:val="auto"/>
              </w:rPr>
              <w:t>Land</w:t>
            </w:r>
          </w:p>
        </w:tc>
        <w:tc>
          <w:tcPr>
            <w:tcW w:w="78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w:t>
            </w:r>
          </w:p>
        </w:tc>
        <w:tc>
          <w:tcPr>
            <w:tcW w:w="7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property and equipment, gross</w:t>
            </w:r>
          </w:p>
        </w:tc>
        <w:tc>
          <w:tcPr>
            <w:tcW w:w="780" w:type="dxa"/>
            <w:vAlign w:val="bottom"/>
          </w:tcPr>
          <w:p>
            <w:pPr>
              <w:spacing w:after="0"/>
              <w:rPr>
                <w:sz w:val="12"/>
                <w:szCs w:val="12"/>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587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depreciation and amortization</w:t>
            </w:r>
          </w:p>
        </w:tc>
        <w:tc>
          <w:tcPr>
            <w:tcW w:w="7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(398)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8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property and equipment, net</w:t>
            </w:r>
          </w:p>
        </w:tc>
        <w:tc>
          <w:tcPr>
            <w:tcW w:w="78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Depreciation expense on property and equipment was $53 million, $53 million, and $55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R - Accounts Payable and Other Accrued Liabilities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Accounts payable and other accrued liabilities consist of the following:</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8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4"/>
        </w:trPr>
        <w:tc>
          <w:tcPr>
            <w:tcW w:w="8520" w:type="dxa"/>
            <w:vAlign w:val="bottom"/>
          </w:tcPr>
          <w:p>
            <w:pPr>
              <w:spacing w:after="0"/>
              <w:rPr>
                <w:sz w:val="13"/>
                <w:szCs w:val="13"/>
                <w:color w:val="auto"/>
              </w:rPr>
            </w:pPr>
          </w:p>
        </w:tc>
        <w:tc>
          <w:tcPr>
            <w:tcW w:w="8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r>
      <w:tr>
        <w:trPr>
          <w:trHeight w:val="16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Salaries and incentives</w:t>
            </w:r>
          </w:p>
        </w:tc>
        <w:tc>
          <w:tcPr>
            <w:tcW w:w="88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469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benefits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URL</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401</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revenue</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consideration - acquisitions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Trade accounts payable</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Accrued recording fees and transfer taxes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Accrued premium taxes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Liability for policy and contract claims</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asset account</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r>
      <w:tr>
        <w:trPr>
          <w:trHeight w:val="165"/>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Remittances and items not allocated</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r>
      <w:tr>
        <w:trPr>
          <w:trHeight w:val="153"/>
        </w:trPr>
        <w:tc>
          <w:tcPr>
            <w:tcW w:w="8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 collateral liabilities</w:t>
            </w:r>
          </w:p>
        </w:tc>
        <w:tc>
          <w:tcPr>
            <w:tcW w:w="88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r>
      <w:tr>
        <w:trPr>
          <w:trHeight w:val="15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accrued liabilities</w:t>
            </w:r>
          </w:p>
        </w:tc>
        <w:tc>
          <w:tcPr>
            <w:tcW w:w="8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493</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w:t>
            </w:r>
          </w:p>
        </w:tc>
      </w:tr>
      <w:tr>
        <w:trPr>
          <w:trHeight w:val="150"/>
        </w:trPr>
        <w:tc>
          <w:tcPr>
            <w:tcW w:w="8520" w:type="dxa"/>
            <w:vAlign w:val="bottom"/>
          </w:tcPr>
          <w:p>
            <w:pPr>
              <w:spacing w:after="0"/>
              <w:rPr>
                <w:sz w:val="13"/>
                <w:szCs w:val="13"/>
                <w:color w:val="auto"/>
              </w:rPr>
            </w:pPr>
          </w:p>
        </w:tc>
        <w:tc>
          <w:tcPr>
            <w:tcW w:w="88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3,828</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3,249</w:t>
            </w: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roll forward URL for the universal life product for the years ended December 31, 2025 and 2024: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80" w:type="dxa"/>
            <w:vAlign w:val="bottom"/>
            <w:tcBorders>
              <w:bottom w:val="single" w:sz="8" w:color="auto"/>
            </w:tcBorders>
          </w:tcPr>
          <w:p>
            <w:pPr>
              <w:spacing w:after="0"/>
              <w:rPr>
                <w:sz w:val="13"/>
                <w:szCs w:val="13"/>
                <w:color w:val="auto"/>
              </w:rPr>
            </w:pPr>
          </w:p>
        </w:tc>
      </w:tr>
      <w:tr>
        <w:trPr>
          <w:trHeight w:val="154"/>
        </w:trPr>
        <w:tc>
          <w:tcPr>
            <w:tcW w:w="8580" w:type="dxa"/>
            <w:vAlign w:val="bottom"/>
          </w:tcPr>
          <w:p>
            <w:pPr>
              <w:spacing w:after="0"/>
              <w:rPr>
                <w:sz w:val="13"/>
                <w:szCs w:val="13"/>
                <w:color w:val="auto"/>
              </w:rPr>
            </w:pPr>
          </w:p>
        </w:tc>
        <w:tc>
          <w:tcPr>
            <w:tcW w:w="9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80" w:type="dxa"/>
            <w:vAlign w:val="bottom"/>
          </w:tcPr>
          <w:p>
            <w:pPr>
              <w:spacing w:after="0"/>
              <w:rPr>
                <w:sz w:val="13"/>
                <w:szCs w:val="13"/>
                <w:color w:val="auto"/>
              </w:rPr>
            </w:pPr>
          </w:p>
        </w:tc>
      </w:tr>
      <w:tr>
        <w:trPr>
          <w:trHeight w:val="164"/>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January 1,</w:t>
            </w:r>
          </w:p>
        </w:tc>
        <w:tc>
          <w:tcPr>
            <w:tcW w:w="90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401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270</w:t>
            </w:r>
          </w:p>
        </w:tc>
      </w:tr>
      <w:tr>
        <w:trPr>
          <w:trHeight w:val="153"/>
        </w:trPr>
        <w:tc>
          <w:tcPr>
            <w:tcW w:w="85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Capitalization</w:t>
            </w:r>
          </w:p>
        </w:tc>
        <w:tc>
          <w:tcPr>
            <w:tcW w:w="900" w:type="dxa"/>
            <w:vAlign w:val="bottom"/>
          </w:tcPr>
          <w:p>
            <w:pPr>
              <w:spacing w:after="0"/>
              <w:rPr>
                <w:sz w:val="13"/>
                <w:szCs w:val="13"/>
                <w:color w:val="auto"/>
              </w:rPr>
            </w:pPr>
          </w:p>
        </w:tc>
        <w:tc>
          <w:tcPr>
            <w:tcW w:w="42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151</w:t>
            </w:r>
          </w:p>
        </w:tc>
      </w:tr>
      <w:tr>
        <w:trPr>
          <w:trHeight w:val="159"/>
        </w:trPr>
        <w:tc>
          <w:tcPr>
            <w:tcW w:w="8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Amortization</w:t>
            </w:r>
          </w:p>
        </w:tc>
        <w:tc>
          <w:tcPr>
            <w:tcW w:w="9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w w:val="97"/>
              </w:rPr>
              <w:t>(20)</w:t>
            </w:r>
          </w:p>
        </w:tc>
      </w:tr>
      <w:tr>
        <w:trPr>
          <w:trHeight w:val="156"/>
        </w:trPr>
        <w:tc>
          <w:tcPr>
            <w:tcW w:w="8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December 31,</w:t>
            </w:r>
          </w:p>
        </w:tc>
        <w:tc>
          <w:tcPr>
            <w:tcW w:w="9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401</w:t>
            </w: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For IUL the cash flow assumptions used to amortize URL reflect the Company’s best estimates for policyholder behavior. F&amp;G reviews cash flow assumptions annually, generally in the third quarter. In 2024 and 2025, F&amp;G undertook a review of all significant assumptions. For the year ended December 31, 2025, F&amp;G updated the assumptions for surrenders, lapses, and mortality. For the year ended December 31, 2024, F&amp;G updated assumptions including premium persistency and mortality improvement. All updates to these assumptions brought F&amp;G more in line with our Company and overall industry experience since the prior assumption update.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S — Income Taxes</w:t>
      </w:r>
    </w:p>
    <w:p>
      <w:pPr>
        <w:spacing w:after="0" w:line="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Income tax expense (benefit) on continuing operations consists of the following:</w:t>
      </w:r>
    </w:p>
    <w:p>
      <w:pPr>
        <w:spacing w:after="0" w:line="107"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9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9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50"/>
        </w:trPr>
        <w:tc>
          <w:tcPr>
            <w:tcW w:w="9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 tax expense</w:t>
            </w: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r>
      <w:tr>
        <w:trPr>
          <w:trHeight w:val="153"/>
        </w:trPr>
        <w:tc>
          <w:tcPr>
            <w:tcW w:w="9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Federal</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r>
      <w:tr>
        <w:trPr>
          <w:trHeight w:val="165"/>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State</w:t>
            </w: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r>
      <w:tr>
        <w:trPr>
          <w:trHeight w:val="153"/>
        </w:trPr>
        <w:tc>
          <w:tcPr>
            <w:tcW w:w="9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Foreign</w:t>
            </w: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current tax expense</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w:t>
            </w:r>
          </w:p>
        </w:tc>
      </w:tr>
      <w:tr>
        <w:trPr>
          <w:trHeight w:val="153"/>
        </w:trPr>
        <w:tc>
          <w:tcPr>
            <w:tcW w:w="9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expense</w:t>
            </w: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165"/>
        </w:trPr>
        <w:tc>
          <w:tcPr>
            <w:tcW w:w="9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Federal</w:t>
            </w:r>
          </w:p>
        </w:tc>
        <w:tc>
          <w:tcPr>
            <w:tcW w:w="240" w:type="dxa"/>
            <w:vAlign w:val="bottom"/>
            <w:shd w:val="clear" w:color="auto" w:fill="CCEEFF"/>
          </w:tcPr>
          <w:p>
            <w:pPr>
              <w:spacing w:after="0"/>
              <w:rPr>
                <w:sz w:val="14"/>
                <w:szCs w:val="14"/>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w:t>
            </w:r>
          </w:p>
        </w:tc>
      </w:tr>
      <w:tr>
        <w:trPr>
          <w:trHeight w:val="153"/>
        </w:trPr>
        <w:tc>
          <w:tcPr>
            <w:tcW w:w="9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State</w:t>
            </w: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w:t>
            </w:r>
          </w:p>
        </w:tc>
      </w:tr>
      <w:tr>
        <w:trPr>
          <w:trHeight w:val="156"/>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deferred tax expense</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w:t>
            </w:r>
          </w:p>
        </w:tc>
      </w:tr>
      <w:tr>
        <w:trPr>
          <w:trHeight w:val="159"/>
        </w:trPr>
        <w:tc>
          <w:tcPr>
            <w:tcW w:w="90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income tax expense on continuing operations</w:t>
            </w: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753</w:t>
            </w:r>
          </w:p>
        </w:tc>
      </w:tr>
      <w:tr>
        <w:trPr>
          <w:trHeight w:val="20"/>
        </w:trPr>
        <w:tc>
          <w:tcPr>
            <w:tcW w:w="9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980" w:type="dxa"/>
            <w:vAlign w:val="bottom"/>
          </w:tcPr>
          <w:p>
            <w:pPr>
              <w:spacing w:after="0"/>
              <w:rPr>
                <w:sz w:val="13"/>
                <w:szCs w:val="13"/>
                <w:color w:val="auto"/>
              </w:rPr>
            </w:pPr>
          </w:p>
        </w:tc>
        <w:tc>
          <w:tcPr>
            <w:tcW w:w="198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r>
      <w:tr>
        <w:trPr>
          <w:trHeight w:val="154"/>
        </w:trPr>
        <w:tc>
          <w:tcPr>
            <w:tcW w:w="8980" w:type="dxa"/>
            <w:vAlign w:val="bottom"/>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Borders>
              <w:bottom w:val="single" w:sz="8" w:color="auto"/>
            </w:tcBorders>
          </w:tcPr>
          <w:p>
            <w:pPr>
              <w:spacing w:after="0"/>
              <w:rPr>
                <w:sz w:val="13"/>
                <w:szCs w:val="13"/>
                <w:color w:val="auto"/>
              </w:rPr>
            </w:pPr>
          </w:p>
        </w:tc>
      </w:tr>
      <w:tr>
        <w:trPr>
          <w:trHeight w:val="150"/>
        </w:trPr>
        <w:tc>
          <w:tcPr>
            <w:tcW w:w="8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gridSpan w:val="3"/>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r>
      <w:tr>
        <w:trPr>
          <w:trHeight w:val="164"/>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Current</w:t>
            </w: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241</w:t>
            </w:r>
          </w:p>
        </w:tc>
      </w:tr>
      <w:tr>
        <w:trPr>
          <w:trHeight w:val="153"/>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Deferred</w:t>
            </w: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w w:val="97"/>
              </w:rPr>
              <w:t>(49)</w:t>
            </w:r>
          </w:p>
        </w:tc>
      </w:tr>
      <w:tr>
        <w:trPr>
          <w:trHeight w:val="175"/>
        </w:trPr>
        <w:tc>
          <w:tcPr>
            <w:tcW w:w="89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192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00" w:top="125" w:right="319" w:bottom="1440" w:gutter="0" w:footer="0" w:header="0"/>
        </w:sectPr>
      </w:pP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income tax expense was allocated as follows:</w:t>
      </w:r>
    </w:p>
    <w:p>
      <w:pPr>
        <w:spacing w:after="0" w:line="200" w:lineRule="exact"/>
        <w:rPr>
          <w:sz w:val="20"/>
          <w:szCs w:val="20"/>
          <w:color w:val="auto"/>
        </w:rPr>
      </w:pPr>
    </w:p>
    <w:p>
      <w:pPr>
        <w:spacing w:after="0" w:line="34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Net earnings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-75565</wp:posOffset>
            </wp:positionV>
            <wp:extent cx="7053580" cy="1009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Other comprehensive earnings (loss):</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Unrealized gain on investments and other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-75565</wp:posOffset>
            </wp:positionV>
            <wp:extent cx="7053580" cy="1009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Unrealized gain on foreign currency translation</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Changes in current discount rate - future policy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-75565</wp:posOffset>
            </wp:positionV>
            <wp:extent cx="7053580" cy="1009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Changes in instrument - specific credit risk - market risk benefits</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Tax effects of F&amp;G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-75565</wp:posOffset>
            </wp:positionV>
            <wp:extent cx="7053580" cy="1009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53580" cy="100965"/>
                    </a:xfrm>
                    <a:prstGeom prst="rect">
                      <a:avLst/>
                    </a:prstGeom>
                    <a:noFill/>
                  </pic:spPr>
                </pic:pic>
              </a:graphicData>
            </a:graphic>
          </wp:anchor>
        </w:drawing>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auto"/>
        </w:rPr>
        <w:t>Other comprehensive earnings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24765</wp:posOffset>
            </wp:positionV>
            <wp:extent cx="7053580" cy="1079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53580" cy="107950"/>
                    </a:xfrm>
                    <a:prstGeom prst="rect">
                      <a:avLst/>
                    </a:prstGeom>
                    <a:noFill/>
                  </pic:spPr>
                </pic:pic>
              </a:graphicData>
            </a:graphic>
          </wp:anchor>
        </w:drawing>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Total income tax expense allocated to other comprehensive earnings</w:t>
      </w:r>
    </w:p>
    <w:p>
      <w:pPr>
        <w:spacing w:after="0" w:line="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Total income taxes</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2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2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1"/>
                <w:szCs w:val="11"/>
                <w:b w:val="1"/>
                <w:bCs w:val="1"/>
                <w:color w:val="auto"/>
                <w:w w:val="99"/>
              </w:rPr>
              <w:t>2025</w:t>
            </w:r>
          </w:p>
        </w:tc>
      </w:tr>
      <w:tr>
        <w:trPr>
          <w:trHeight w:val="145"/>
        </w:trPr>
        <w:tc>
          <w:tcPr>
            <w:tcW w:w="260" w:type="dxa"/>
            <w:vAlign w:val="bottom"/>
          </w:tcPr>
          <w:p>
            <w:pPr>
              <w:spacing w:after="0"/>
              <w:rPr>
                <w:sz w:val="12"/>
                <w:szCs w:val="12"/>
                <w:color w:val="auto"/>
              </w:rPr>
            </w:pPr>
          </w:p>
        </w:tc>
        <w:tc>
          <w:tcPr>
            <w:tcW w:w="184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50"/>
        </w:trPr>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753</w:t>
            </w:r>
          </w:p>
        </w:tc>
      </w:tr>
      <w:tr>
        <w:trPr>
          <w:trHeight w:val="318"/>
        </w:trPr>
        <w:tc>
          <w:tcPr>
            <w:tcW w:w="260" w:type="dxa"/>
            <w:vAlign w:val="bottom"/>
          </w:tcPr>
          <w:p>
            <w:pPr>
              <w:spacing w:after="0"/>
              <w:rPr>
                <w:sz w:val="24"/>
                <w:szCs w:val="24"/>
                <w:color w:val="auto"/>
              </w:rPr>
            </w:pPr>
          </w:p>
        </w:tc>
        <w:tc>
          <w:tcPr>
            <w:tcW w:w="1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w:t>
            </w:r>
          </w:p>
        </w:tc>
      </w:tr>
      <w:tr>
        <w:trPr>
          <w:trHeight w:val="159"/>
        </w:trPr>
        <w:tc>
          <w:tcPr>
            <w:tcW w:w="260" w:type="dxa"/>
            <w:vAlign w:val="bottom"/>
          </w:tcPr>
          <w:p>
            <w:pPr>
              <w:spacing w:after="0"/>
              <w:rPr>
                <w:sz w:val="13"/>
                <w:szCs w:val="13"/>
                <w:color w:val="auto"/>
              </w:rPr>
            </w:pPr>
          </w:p>
        </w:tc>
        <w:tc>
          <w:tcPr>
            <w:tcW w:w="1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r>
      <w:tr>
        <w:trPr>
          <w:trHeight w:val="159"/>
        </w:trPr>
        <w:tc>
          <w:tcPr>
            <w:tcW w:w="2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w:t>
            </w:r>
          </w:p>
        </w:tc>
      </w:tr>
      <w:tr>
        <w:trPr>
          <w:trHeight w:val="159"/>
        </w:trPr>
        <w:tc>
          <w:tcPr>
            <w:tcW w:w="2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9"/>
        </w:trPr>
        <w:tc>
          <w:tcPr>
            <w:tcW w:w="26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69"/>
        </w:trPr>
        <w:tc>
          <w:tcPr>
            <w:tcW w:w="2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47"/>
        </w:trPr>
        <w:tc>
          <w:tcPr>
            <w:tcW w:w="260" w:type="dxa"/>
            <w:vAlign w:val="bottom"/>
          </w:tcPr>
          <w:p>
            <w:pPr>
              <w:spacing w:after="0"/>
              <w:rPr>
                <w:sz w:val="12"/>
                <w:szCs w:val="12"/>
                <w:color w:val="auto"/>
              </w:rPr>
            </w:pPr>
          </w:p>
        </w:tc>
        <w:tc>
          <w:tcPr>
            <w:tcW w:w="1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w:t>
            </w:r>
          </w:p>
        </w:tc>
      </w:tr>
      <w:tr>
        <w:trPr>
          <w:trHeight w:val="162"/>
        </w:trPr>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815</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380" w:space="720"/>
            <w:col w:w="2180"/>
          </w:cols>
          <w:pgMar w:left="300" w:top="125" w:right="31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20" w:type="dxa"/>
        <w:tblCellMar>
          <w:top w:w="0" w:type="dxa"/>
          <w:left w:w="0" w:type="dxa"/>
          <w:bottom w:w="0" w:type="dxa"/>
          <w:right w:w="0" w:type="dxa"/>
        </w:tblCellMar>
      </w:tblPr>
      <w:tr>
        <w:trPr>
          <w:trHeight w:val="158"/>
        </w:trPr>
        <w:tc>
          <w:tcPr>
            <w:tcW w:w="8760" w:type="dxa"/>
            <w:vAlign w:val="bottom"/>
          </w:tcPr>
          <w:p>
            <w:pPr>
              <w:spacing w:after="0"/>
              <w:rPr>
                <w:sz w:val="13"/>
                <w:szCs w:val="13"/>
                <w:color w:val="auto"/>
              </w:rPr>
            </w:pPr>
          </w:p>
        </w:tc>
        <w:tc>
          <w:tcPr>
            <w:tcW w:w="19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40" w:type="dxa"/>
            <w:vAlign w:val="bottom"/>
            <w:tcBorders>
              <w:bottom w:val="single" w:sz="8" w:color="auto"/>
            </w:tcBorders>
          </w:tcPr>
          <w:p>
            <w:pPr>
              <w:spacing w:after="0"/>
              <w:rPr>
                <w:sz w:val="13"/>
                <w:szCs w:val="13"/>
                <w:color w:val="auto"/>
              </w:rPr>
            </w:pPr>
          </w:p>
        </w:tc>
      </w:tr>
      <w:tr>
        <w:trPr>
          <w:trHeight w:val="154"/>
        </w:trPr>
        <w:tc>
          <w:tcPr>
            <w:tcW w:w="8760" w:type="dxa"/>
            <w:vAlign w:val="bottom"/>
          </w:tcPr>
          <w:p>
            <w:pPr>
              <w:spacing w:after="0"/>
              <w:rPr>
                <w:sz w:val="13"/>
                <w:szCs w:val="13"/>
                <w:color w:val="auto"/>
              </w:rPr>
            </w:pPr>
          </w:p>
        </w:tc>
        <w:tc>
          <w:tcPr>
            <w:tcW w:w="7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340" w:type="dxa"/>
            <w:vAlign w:val="bottom"/>
            <w:tcBorders>
              <w:bottom w:val="single" w:sz="8" w:color="auto"/>
            </w:tcBorders>
          </w:tcPr>
          <w:p>
            <w:pPr>
              <w:spacing w:after="0"/>
              <w:rPr>
                <w:sz w:val="13"/>
                <w:szCs w:val="13"/>
                <w:color w:val="auto"/>
              </w:rPr>
            </w:pPr>
          </w:p>
        </w:tc>
      </w:tr>
      <w:tr>
        <w:trPr>
          <w:trHeight w:val="150"/>
        </w:trPr>
        <w:tc>
          <w:tcPr>
            <w:tcW w:w="8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gridSpan w:val="3"/>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r>
      <w:tr>
        <w:trPr>
          <w:trHeight w:val="164"/>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from continuing operations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r>
      <w:tr>
        <w:trPr>
          <w:trHeight w:val="153"/>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earnings (loss):</w:t>
            </w: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65"/>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Unrealized (loss) gain on investments and other financial instruments</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275</w:t>
            </w:r>
          </w:p>
        </w:tc>
      </w:tr>
      <w:tr>
        <w:trPr>
          <w:trHeight w:val="153"/>
        </w:trPr>
        <w:tc>
          <w:tcPr>
            <w:tcW w:w="8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Unrealized (loss) gain on foreign currency translation</w:t>
            </w:r>
          </w:p>
        </w:tc>
        <w:tc>
          <w:tcPr>
            <w:tcW w:w="7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Changes in current discount rate - future policy benefits</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r>
      <w:tr>
        <w:trPr>
          <w:trHeight w:val="153"/>
        </w:trPr>
        <w:tc>
          <w:tcPr>
            <w:tcW w:w="87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Changes in instrument - specific credit risk - market risk benefits</w:t>
            </w:r>
          </w:p>
        </w:tc>
        <w:tc>
          <w:tcPr>
            <w:tcW w:w="740" w:type="dxa"/>
            <w:vAlign w:val="bottom"/>
          </w:tcPr>
          <w:p>
            <w:pPr>
              <w:spacing w:after="0"/>
              <w:rPr>
                <w:sz w:val="13"/>
                <w:szCs w:val="13"/>
                <w:color w:val="auto"/>
              </w:rPr>
            </w:pPr>
          </w:p>
        </w:tc>
        <w:tc>
          <w:tcPr>
            <w:tcW w:w="3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r>
      <w:tr>
        <w:trPr>
          <w:trHeight w:val="165"/>
        </w:trPr>
        <w:tc>
          <w:tcPr>
            <w:tcW w:w="8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F&amp;G 15% Distribution</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53"/>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income tax expense) allocated to other comprehensive earnings</w:t>
            </w:r>
          </w:p>
        </w:tc>
        <w:tc>
          <w:tcPr>
            <w:tcW w:w="7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183</w:t>
            </w:r>
          </w:p>
        </w:tc>
      </w:tr>
      <w:tr>
        <w:trPr>
          <w:trHeight w:val="181"/>
        </w:trPr>
        <w:tc>
          <w:tcPr>
            <w:tcW w:w="8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income tax expense</w:t>
            </w:r>
          </w:p>
        </w:tc>
        <w:tc>
          <w:tcPr>
            <w:tcW w:w="74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375</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the federal statutory rate to our effective tax rate is as follows: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880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240" w:type="dxa"/>
            <w:vAlign w:val="bottom"/>
            <w:tcBorders>
              <w:bottom w:val="single" w:sz="8" w:color="auto"/>
            </w:tcBorders>
          </w:tcPr>
          <w:p>
            <w:pPr>
              <w:spacing w:after="0"/>
              <w:rPr>
                <w:sz w:val="13"/>
                <w:szCs w:val="13"/>
                <w:color w:val="auto"/>
              </w:rPr>
            </w:pPr>
          </w:p>
        </w:tc>
      </w:tr>
      <w:tr>
        <w:trPr>
          <w:trHeight w:val="154"/>
        </w:trPr>
        <w:tc>
          <w:tcPr>
            <w:tcW w:w="8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3"/>
                <w:szCs w:val="13"/>
                <w:color w:val="auto"/>
              </w:rPr>
            </w:pPr>
          </w:p>
        </w:tc>
      </w:tr>
      <w:tr>
        <w:trPr>
          <w:trHeight w:val="164"/>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statutory rate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w:t>
            </w:r>
          </w:p>
        </w:tc>
      </w:tr>
      <w:tr>
        <w:trPr>
          <w:trHeight w:val="153"/>
        </w:trPr>
        <w:tc>
          <w:tcPr>
            <w:tcW w:w="8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State income taxes, net of federal income tax effect (1)</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r>
      <w:tr>
        <w:trPr>
          <w:trHeight w:val="165"/>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53"/>
        </w:trPr>
        <w:tc>
          <w:tcPr>
            <w:tcW w:w="8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valuation allowances</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r>
      <w:tr>
        <w:trPr>
          <w:trHeight w:val="165"/>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Outside basis difference in F&amp;G (2)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471</w:t>
            </w:r>
          </w:p>
        </w:tc>
      </w:tr>
      <w:tr>
        <w:trPr>
          <w:trHeight w:val="153"/>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Nontaxable or nondeductible items and other</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8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Effective tax rate</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53.9 %</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200" w:hanging="195"/>
        <w:spacing w:after="0"/>
        <w:tabs>
          <w:tab w:leader="none" w:pos="2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in California and Illinois made up the majority (greater than 50 percent) of the tax effect in this category.</w:t>
      </w:r>
    </w:p>
    <w:p>
      <w:pPr>
        <w:spacing w:after="0" w:line="2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taxes of $23 million are included in this category, of which Illinois and Florida made up the majority (greater than 50 percent).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820" w:type="dxa"/>
            <w:vAlign w:val="bottom"/>
          </w:tcPr>
          <w:p>
            <w:pPr>
              <w:spacing w:after="0"/>
              <w:rPr>
                <w:sz w:val="13"/>
                <w:szCs w:val="13"/>
                <w:color w:val="auto"/>
              </w:rPr>
            </w:pPr>
          </w:p>
        </w:tc>
        <w:tc>
          <w:tcPr>
            <w:tcW w:w="20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Borders>
              <w:bottom w:val="single" w:sz="8" w:color="auto"/>
            </w:tcBorders>
          </w:tcPr>
          <w:p>
            <w:pPr>
              <w:spacing w:after="0"/>
              <w:rPr>
                <w:sz w:val="13"/>
                <w:szCs w:val="13"/>
                <w:color w:val="auto"/>
              </w:rPr>
            </w:pPr>
          </w:p>
        </w:tc>
      </w:tr>
      <w:tr>
        <w:trPr>
          <w:trHeight w:val="154"/>
        </w:trPr>
        <w:tc>
          <w:tcPr>
            <w:tcW w:w="882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0" w:type="dxa"/>
            <w:vAlign w:val="bottom"/>
          </w:tcPr>
          <w:p>
            <w:pPr>
              <w:spacing w:after="0"/>
              <w:rPr>
                <w:sz w:val="13"/>
                <w:szCs w:val="13"/>
                <w:color w:val="auto"/>
              </w:rPr>
            </w:pPr>
          </w:p>
        </w:tc>
      </w:tr>
      <w:tr>
        <w:trPr>
          <w:trHeight w:val="155"/>
        </w:trPr>
        <w:tc>
          <w:tcPr>
            <w:tcW w:w="8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 statutory rate</w:t>
            </w:r>
          </w:p>
        </w:tc>
        <w:tc>
          <w:tcPr>
            <w:tcW w:w="7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c>
          <w:tcPr>
            <w:tcW w:w="1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21.0 %</w:t>
            </w:r>
          </w:p>
        </w:tc>
      </w:tr>
      <w:tr>
        <w:trPr>
          <w:trHeight w:val="153"/>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State income taxes, net of federal benefit</w:t>
            </w:r>
          </w:p>
        </w:tc>
        <w:tc>
          <w:tcPr>
            <w:tcW w:w="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w:t>
            </w:r>
          </w:p>
        </w:tc>
      </w:tr>
      <w:tr>
        <w:trPr>
          <w:trHeight w:val="165"/>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 compensation</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(0.5)</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(0.2)</w:t>
            </w:r>
          </w:p>
        </w:tc>
      </w:tr>
      <w:tr>
        <w:trPr>
          <w:trHeight w:val="153"/>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4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(0.7)</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r>
      <w:tr>
        <w:trPr>
          <w:trHeight w:val="165"/>
        </w:trPr>
        <w:tc>
          <w:tcPr>
            <w:tcW w:w="9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Valuation allowance for deferred tax assets</w:t>
            </w:r>
          </w:p>
        </w:tc>
        <w:tc>
          <w:tcPr>
            <w:tcW w:w="4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w:t>
            </w:r>
          </w:p>
        </w:tc>
      </w:tr>
      <w:tr>
        <w:trPr>
          <w:trHeight w:val="153"/>
        </w:trPr>
        <w:tc>
          <w:tcPr>
            <w:tcW w:w="9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Officers Compensation</w:t>
            </w:r>
          </w:p>
        </w:tc>
        <w:tc>
          <w:tcPr>
            <w:tcW w:w="4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0.8</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w:t>
            </w:r>
          </w:p>
        </w:tc>
      </w:tr>
      <w:tr>
        <w:trPr>
          <w:trHeight w:val="159"/>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Non-deductible expenses and other, net</w:t>
            </w:r>
          </w:p>
        </w:tc>
        <w:tc>
          <w:tcPr>
            <w:tcW w:w="7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0.1</w:t>
            </w:r>
          </w:p>
        </w:tc>
      </w:tr>
      <w:tr>
        <w:trPr>
          <w:trHeight w:val="156"/>
        </w:trPr>
        <w:tc>
          <w:tcPr>
            <w:tcW w:w="95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Effective tax rate</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21.1 %</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27.7 %</w:t>
            </w:r>
          </w:p>
        </w:tc>
      </w:tr>
      <w:tr>
        <w:trPr>
          <w:trHeight w:val="20"/>
        </w:trPr>
        <w:tc>
          <w:tcPr>
            <w:tcW w:w="88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income taxes paid was allocated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9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50"/>
        </w:trPr>
        <w:tc>
          <w:tcPr>
            <w:tcW w:w="9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jc w:val="center"/>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64"/>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Federal</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r>
      <w:tr>
        <w:trPr>
          <w:trHeight w:val="153"/>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State &amp; Foreign</w:t>
            </w: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w:t>
            </w:r>
          </w:p>
        </w:tc>
      </w:tr>
      <w:tr>
        <w:trPr>
          <w:trHeight w:val="181"/>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significant components of deferred tax assets and liabilities consist of the following:</w:t>
      </w:r>
    </w:p>
    <w:p>
      <w:pPr>
        <w:spacing w:after="0" w:line="36"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86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20" w:type="dxa"/>
            <w:vAlign w:val="bottom"/>
            <w:tcBorders>
              <w:bottom w:val="single" w:sz="8" w:color="auto"/>
            </w:tcBorders>
          </w:tcPr>
          <w:p>
            <w:pPr>
              <w:spacing w:after="0"/>
              <w:rPr>
                <w:sz w:val="13"/>
                <w:szCs w:val="13"/>
                <w:color w:val="auto"/>
              </w:rPr>
            </w:pPr>
          </w:p>
        </w:tc>
      </w:tr>
      <w:tr>
        <w:trPr>
          <w:trHeight w:val="154"/>
        </w:trPr>
        <w:tc>
          <w:tcPr>
            <w:tcW w:w="8640" w:type="dxa"/>
            <w:vAlign w:val="bottom"/>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20" w:type="dxa"/>
            <w:vAlign w:val="bottom"/>
          </w:tcPr>
          <w:p>
            <w:pPr>
              <w:spacing w:after="0"/>
              <w:rPr>
                <w:sz w:val="13"/>
                <w:szCs w:val="13"/>
                <w:color w:val="auto"/>
              </w:rPr>
            </w:pPr>
          </w:p>
        </w:tc>
      </w:tr>
      <w:tr>
        <w:trPr>
          <w:trHeight w:val="16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Employee benefit accruals</w:t>
            </w:r>
          </w:p>
        </w:tc>
        <w:tc>
          <w:tcPr>
            <w:tcW w:w="680" w:type="dxa"/>
            <w:vAlign w:val="bottom"/>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operating loss carryforwards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Tax credits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securities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775</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 loss carryover</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Life insurance and claim related adjustments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451</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Funds held under reinsurance agreements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822</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Market Risk Benefits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Bermuda corporate income tax net operating loss carryforward</w:t>
            </w:r>
          </w:p>
        </w:tc>
        <w:tc>
          <w:tcPr>
            <w:tcW w:w="6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Section 263a Costs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w:t>
            </w:r>
          </w:p>
        </w:tc>
      </w:tr>
      <w:tr>
        <w:trPr>
          <w:trHeight w:val="15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gross deferred tax asset</w:t>
            </w:r>
          </w:p>
        </w:tc>
        <w:tc>
          <w:tcPr>
            <w:tcW w:w="6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2,623</w:t>
            </w:r>
          </w:p>
        </w:tc>
      </w:tr>
      <w:tr>
        <w:trPr>
          <w:trHeight w:val="153"/>
        </w:trPr>
        <w:tc>
          <w:tcPr>
            <w:tcW w:w="8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Less: valuation allowance</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164</w:t>
            </w:r>
          </w:p>
        </w:tc>
      </w:tr>
      <w:tr>
        <w:trPr>
          <w:trHeight w:val="156"/>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deferred tax asset</w:t>
            </w: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2,459</w:t>
            </w:r>
          </w:p>
        </w:tc>
      </w:tr>
      <w:tr>
        <w:trPr>
          <w:trHeight w:val="140"/>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Liabilities: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Title plant</w:t>
            </w:r>
          </w:p>
        </w:tc>
        <w:tc>
          <w:tcPr>
            <w:tcW w:w="68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Amortization of goodwill and intangible assets</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Depreciation</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Partnerships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(198)</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Value of business acquired</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acquisition costs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w:t>
            </w:r>
          </w:p>
        </w:tc>
      </w:tr>
      <w:tr>
        <w:trPr>
          <w:trHeight w:val="153"/>
        </w:trPr>
        <w:tc>
          <w:tcPr>
            <w:tcW w:w="86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Outside basis difference in F&amp;G</w:t>
            </w:r>
          </w:p>
        </w:tc>
        <w:tc>
          <w:tcPr>
            <w:tcW w:w="6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Funds held under reinsurance agreements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w:t>
            </w:r>
          </w:p>
        </w:tc>
      </w:tr>
      <w:tr>
        <w:trPr>
          <w:trHeight w:val="15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Title Insurance reserve discounting</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50"/>
        </w:trPr>
        <w:tc>
          <w:tcPr>
            <w:tcW w:w="8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deferred tax liability</w:t>
            </w:r>
          </w:p>
        </w:tc>
        <w:tc>
          <w:tcPr>
            <w:tcW w:w="68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(3,066)</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w:t>
            </w:r>
          </w:p>
        </w:tc>
      </w:tr>
      <w:tr>
        <w:trPr>
          <w:trHeight w:val="156"/>
        </w:trPr>
        <w:tc>
          <w:tcPr>
            <w:tcW w:w="86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deferred tax (liability) asset</w:t>
            </w:r>
          </w:p>
        </w:tc>
        <w:tc>
          <w:tcPr>
            <w:tcW w:w="6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(359)</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315</w:t>
            </w:r>
          </w:p>
        </w:tc>
      </w:tr>
      <w:tr>
        <w:trPr>
          <w:trHeight w:val="20"/>
        </w:trPr>
        <w:tc>
          <w:tcPr>
            <w:tcW w:w="8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Our net deferred tax (liability) asset was $(359) million and $315 million as of December 31, 2025 and 2024, respectively. The significant changes in the deferred taxes are as follows: the deferred tax asset for investment securities decreased by $271 million primarily due to unrealized gains recorded for investment securities, of which $29 million was related to unrealized gains in our Title segment and $242 million was related to unrealized gains in our F&amp;G segment's life insurance business. The deferred tax liability related to deferred acquisition costs increased by $134 million, which is consistent with the growth in sales in our F&amp;G segment. The reinsurance receivable deferred tax asset increased by $356 million and the reinsurance receivable deferred tax liability increased by $316 million, both due to the increase in modified coinsurance reinsurance in the F&amp;G segment. The deferred tax asset relating to life insurance receivables increased by $88 million primarily due to GAAP reserves increasing more than tax reserves by F&amp;G. The deferred tax liability relating to partnerships increased by $79 million, of which $30 million relates to partnerships in</w:t>
      </w:r>
    </w:p>
    <w:p>
      <w:pPr>
        <w:spacing w:after="0" w:line="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Title segment and $49 million relates to partnerships in our F&amp;G segment. In connection with the 2025 F&amp;G distribution, we recorded a deferred tax liability of $404 million for our outside basis difference in F&amp;G. This deferred tax liability represents the difference between the book basis and tax basis of the retained F&amp;G shares as of December 31, 2025, as we can no longer recover our investment tax free. $471 million was recorded through continuing operations, with the remaining movement in the deferred tax liability recorded through other comprehensive income and equity, following the accounting guidance regarding intraperiod allocation under ASC 740 and ASC 810. As a</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result of the 2025 F&amp;G distribution, certain F&amp;G subsidiaries who have historically filed a consolidated tax return with FNF will no longer be eligible to file a consolidated tax return after the 2025 tax year.</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December 31, 2025, we have net operating losses ("NOLs") on a pretax basis of $548 million, of which $42 million relates to our Title segment and $506 million relates to our F&amp;G segment's life insurance business, which are available to carryforward and offset future federal taxable income. The Title segment NOLs are U.S. federal NOLs arising from acquisitions made since 2012, including Buyers Protection Group, Inc., Digital Insurance Holdings, Inc. and THL Corporations (ServiceLink). Most of the NOLs are subject to an annual Internal Revenue Code Section 382 limitation. These losses will begin to expire in year 2034 and we fully anticipate utilizing the Title segment losses prior to expiration with the exception of $25 million of gross net operating losses that are offset by a $25 million valuation allowance in the Title segment. The F&amp;G NOLs are indefinite life U.S. federal NOLs arising from the life insurance business.</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As of December 31, 2025 and 2024, we had $176 million and $204 million of tax credits, respectively, some of which have expiration dates and will begin to expire between 2029 and 2044. The credits primarily consist of general business credits and corporate alternative minimum tax credits, including $124 million associated with our F&amp;G segment's life insurance business. Our corporate alternative minimum tax credit has an indefinite life. We anticipate the remainder of the credits will be utilized prior to expiration with the exception of $31 million relating primarily to general business credits in our Title segment which have a corresponding $31 million valuation allowance recorded.</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As of December 31, 2025, a valuation allowance of $71 million on the net deferred tax asset for capital losses was recorded, of which $34 million related to the Title segment and $37 million related to the F&amp;G segment. The net change in the capital loss valuation allowance was a $48 million decrease for the year ended December 31, 2025. This decrease to the valuation allowance was primarily due to fluctuations in the bond and equity markets, and to capital gains and losses generated in 2025.</w:t>
      </w:r>
    </w:p>
    <w:p>
      <w:pPr>
        <w:spacing w:after="0" w:line="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December 31, 2025 and 2024, there were no 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698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85" cy="6985"/>
                    </a:xfrm>
                    <a:prstGeom prst="rect">
                      <a:avLst/>
                    </a:prstGeom>
                    <a:noFill/>
                  </pic:spPr>
                </pic:pic>
              </a:graphicData>
            </a:graphic>
          </wp:anchor>
        </w:drawing>
      </w:r>
    </w:p>
    <w:p>
      <w:pPr>
        <w:spacing w:after="0" w:line="9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F&amp;G's life insurance subsidiaries, as well as certain F&amp;G non-life subsidiaries file separate tax returns from the FNF consolidated group. Prepaid expenses and other assets in the accompanying Consolidated Balance Sheets as of December 31, 2025, includes: $82 million of deferred tax assets as well as $84 million of tax receivables related to F&amp;G subsidiaries who file separate tax returns. As of December 31, 2024, prepaid expenses and other assets included $20 million of deferred tax assets related to the FNF consolidated group as well as $6 million of tax receivables and $295 million of deferred tax assets related to F&amp;G subsidiaries who file separate tax returns.</w:t>
      </w:r>
    </w:p>
    <w:p>
      <w:pPr>
        <w:spacing w:after="0" w:line="5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We continue to be a participant in the Internal Revenue Service (“IRS”) Compliance Assurance Process that is a real-time audit. The 2025 U.S. federal income tax return remains open to examination by the IRS. We file income tax returns in various foreign and US state jurisdictions. Our state income tax returns for the 2021 through 2025 tax years remain subject to examination by state jurisdictions. The F&amp;G life insurance group files a separate consolidated return with the IRS. The F&amp;G federal income tax returns for 2020 through the current period remain open to examination by the IRS.</w:t>
      </w:r>
    </w:p>
    <w:p>
      <w:pPr>
        <w:spacing w:after="0" w:line="56"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Organization for Economic Cooperation and Development has developed guidance known as the Global Anti-Base Erosion Pillar Two minimum tax rules, or Pillar Two, which generally provide for a minimum effective tax rate of 15% and are intended to apply to tax years beginning in 2024. As of December 31, 2025, based on the countries in which we do business that have enacted legislation, the Company does not expect these rules to have a material impact on our income tax provision.</w:t>
      </w:r>
    </w:p>
    <w:p>
      <w:pPr>
        <w:spacing w:after="0" w:line="51"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The application of the OBBBA tax provisions did not result in material changes to the Company's total income tax expense or effective tax rate for the year ended December 31, 2025.</w:t>
      </w:r>
    </w:p>
    <w:p>
      <w:pPr>
        <w:spacing w:after="0" w:line="14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The Company considers its non-U.S. earnings to be indefinitely reinvested outside of the U.S. to the extent these earnings are not subject to the U.S. income tax under an anti-deferral tax regime. Given our intent to reinvest these earnings for an indefinite period of time, the Company has not accrued a deferred tax liability on these earnings. A determination of an unrecognized deferred tax liability related to these earnings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T - Employee Benefit Plans</w:t>
      </w:r>
    </w:p>
    <w:p>
      <w:pPr>
        <w:spacing w:after="0" w:line="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Purchase Plan</w:t>
      </w:r>
    </w:p>
    <w:p>
      <w:pPr>
        <w:spacing w:after="0" w:line="7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three-year period ended December 31, 2025, our eligible employees could voluntarily participate in our employee stock purchase plan (“ESPP”) sponsored by us. Pursuant to the ESPP, employees may contribute an amount between 3% and 15% of their base salary and certain commissions. We contribute varying amounts as specified in the ESPP.</w:t>
      </w:r>
    </w:p>
    <w:p>
      <w:pPr>
        <w:spacing w:after="0" w:line="29" w:lineRule="exact"/>
        <w:rPr>
          <w:sz w:val="20"/>
          <w:szCs w:val="20"/>
          <w:color w:val="auto"/>
        </w:rPr>
      </w:pPr>
    </w:p>
    <w:p>
      <w:pPr>
        <w:ind w:left="260" w:right="480"/>
        <w:spacing w:after="0" w:line="355" w:lineRule="auto"/>
        <w:rPr>
          <w:sz w:val="20"/>
          <w:szCs w:val="20"/>
          <w:color w:val="auto"/>
        </w:rPr>
      </w:pPr>
      <w:r>
        <w:rPr>
          <w:rFonts w:ascii="Times New Roman" w:cs="Times New Roman" w:eastAsia="Times New Roman" w:hAnsi="Times New Roman"/>
          <w:sz w:val="14"/>
          <w:szCs w:val="14"/>
          <w:color w:val="auto"/>
        </w:rPr>
        <w:t xml:space="preserve">We contributed $51 million, $34 million, and $30 million to the ESPP in the years ended December 31, 2025, 2024, and 2023, respectively, in accordance with our matching contribution. </w:t>
      </w:r>
      <w:r>
        <w:rPr>
          <w:rFonts w:ascii="Times New Roman" w:cs="Times New Roman" w:eastAsia="Times New Roman" w:hAnsi="Times New Roman"/>
          <w:sz w:val="14"/>
          <w:szCs w:val="14"/>
          <w:b w:val="1"/>
          <w:bCs w:val="1"/>
          <w:i w:val="1"/>
          <w:iCs w:val="1"/>
          <w:color w:val="auto"/>
        </w:rPr>
        <w:t>FNF 401(k) Profit Sharing Plan</w:t>
      </w:r>
    </w:p>
    <w:p>
      <w:pPr>
        <w:spacing w:after="0" w:line="1"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During the three-year period ended December 31, 2025, we have offered our employees the opportunity to participate in our 401(k) profit sharing plan (the “401(k) Plan”), a qualified voluntary contributory savings plan that is available to substantially all of our employees. Eligible employees may contribute up to 40% of their pre-tax annual compensation, up to the amount allowed pursuant to the Internal Revenue Code. During the year ended December 31, 2025, 2024 and 2023, we made an employer match on the 401(k) Plan of $0.50 on each $1.00 contributed up to the first 6% of eligible earnings contributed to the 401(k) Plan by employees. The employer match was $50 million, $46 million, and $45 million for the years ended December 31, 2025, 2024 and 2023, respectively, and was credited based on the participant's individual investment elections in the FNF 401(k) Plan.</w:t>
      </w:r>
    </w:p>
    <w:p>
      <w:pPr>
        <w:spacing w:after="0" w:line="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Omnibus Incentive Plan</w:t>
      </w:r>
    </w:p>
    <w:p>
      <w:pPr>
        <w:spacing w:after="0" w:line="85"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2005, we established the FNT 2005 Omnibus Incentive Plan (as amended and restated, the “Omnibus Plan”) authorizing the issuance of up to 8 million shares of common stock, subject to the terms of the Omnibus Plan. On October 23, 2006; May 29, 2008; May 25, 2011; May 22, 2013; and June 15, 2016, the shareholders of FNF approved amendments to increase the number of shares for issuance under the Omnibus Plan by 16 million, 11 million, 6 million, 6 million, and 10 million shares, respectively. The primary purpose of the increases were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2025, there were 2,105,535 shares of restricted stock and no stock options outstanding under the Omnibus Plan. Awards granted are approved by the Compensation Committee of the Board of Directors.</w:t>
      </w:r>
    </w:p>
    <w:p>
      <w:pPr>
        <w:spacing w:after="0" w:line="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F&amp;G Omnibus Incentive Plan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On June 1, 2020, in connection with the acquisition of F&amp;G, we assumed the shares that remained available for future awards under the FGL Holdings 2017 Omnibus Incentive Plan, as amended and restated (the “F&amp;G Omnibus Plan”) and converted such shares into 2,096,429 shares of FNF common stock that may be issued pursuant to future awards granted under the F&amp;G Omnibus Plan and 2,411,585 shares of FNF common stock that may be issued pursuant to outstanding stock options under the F&amp;G Omnibus Plan. Each unvested stock option assumed under the F&amp;G Omnibus Plan was converted into an FNF stock option and vests solely on the passage of time without any ongoing performance-vesting conditions. The options vest over a 3 year period, based on the option's initial grant date, and have a contractual life of 7 years. As of December 31, 2025, there were no shares of restricted stock and no stock options outstanding under the F&amp;G Omnibus Plan.</w:t>
      </w:r>
    </w:p>
    <w:p>
      <w:pPr>
        <w:spacing w:after="0" w:line="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stock option transactions under the F&amp;G Omnibus Plan for 2025, 2024, and 2023 are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80" w:type="dxa"/>
            <w:vAlign w:val="bottom"/>
          </w:tcPr>
          <w:p>
            <w:pPr>
              <w:spacing w:after="0"/>
              <w:rPr>
                <w:sz w:val="11"/>
                <w:szCs w:val="11"/>
                <w:color w:val="auto"/>
              </w:rPr>
            </w:pPr>
          </w:p>
        </w:tc>
        <w:tc>
          <w:tcPr>
            <w:tcW w:w="14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20" w:type="dxa"/>
            <w:vAlign w:val="bottom"/>
          </w:tcPr>
          <w:p>
            <w:pPr>
              <w:spacing w:after="0"/>
              <w:rPr>
                <w:sz w:val="11"/>
                <w:szCs w:val="11"/>
                <w:color w:val="auto"/>
              </w:rPr>
            </w:pPr>
          </w:p>
        </w:tc>
        <w:tc>
          <w:tcPr>
            <w:tcW w:w="11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11"/>
                <w:szCs w:val="11"/>
                <w:color w:val="auto"/>
              </w:rPr>
            </w:pPr>
          </w:p>
        </w:tc>
        <w:tc>
          <w:tcPr>
            <w:tcW w:w="130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0" w:type="dxa"/>
            <w:vAlign w:val="bottom"/>
          </w:tcPr>
          <w:p>
            <w:pPr>
              <w:spacing w:after="0"/>
              <w:rPr>
                <w:sz w:val="1"/>
                <w:szCs w:val="1"/>
                <w:color w:val="auto"/>
              </w:rPr>
            </w:pPr>
          </w:p>
        </w:tc>
      </w:tr>
      <w:tr>
        <w:trPr>
          <w:trHeight w:val="154"/>
        </w:trPr>
        <w:tc>
          <w:tcPr>
            <w:tcW w:w="7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Exercise Price</w:t>
            </w:r>
          </w:p>
        </w:tc>
        <w:tc>
          <w:tcPr>
            <w:tcW w:w="10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January 1, 2023</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1,172,607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35.15</w:t>
            </w: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1,172,607</w:t>
            </w:r>
          </w:p>
        </w:tc>
        <w:tc>
          <w:tcPr>
            <w:tcW w:w="0" w:type="dxa"/>
            <w:vAlign w:val="bottom"/>
          </w:tcPr>
          <w:p>
            <w:pPr>
              <w:spacing w:after="0"/>
              <w:rPr>
                <w:sz w:val="1"/>
                <w:szCs w:val="1"/>
                <w:color w:val="auto"/>
              </w:rPr>
            </w:pP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(502,414)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30.31</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(26,570)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38.07</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643,623</w:t>
            </w:r>
          </w:p>
        </w:tc>
        <w:tc>
          <w:tcPr>
            <w:tcW w:w="10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643,623</w:t>
            </w:r>
          </w:p>
        </w:tc>
        <w:tc>
          <w:tcPr>
            <w:tcW w:w="0" w:type="dxa"/>
            <w:vAlign w:val="bottom"/>
          </w:tcPr>
          <w:p>
            <w:pPr>
              <w:spacing w:after="0"/>
              <w:rPr>
                <w:sz w:val="1"/>
                <w:szCs w:val="1"/>
                <w:color w:val="auto"/>
              </w:rPr>
            </w:pPr>
          </w:p>
        </w:tc>
      </w:tr>
      <w:tr>
        <w:trPr>
          <w:trHeight w:val="165"/>
        </w:trPr>
        <w:tc>
          <w:tcPr>
            <w:tcW w:w="7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(543,623)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4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0" w:type="dxa"/>
            <w:vAlign w:val="bottom"/>
          </w:tcPr>
          <w:p>
            <w:pPr>
              <w:spacing w:after="0"/>
              <w:rPr>
                <w:sz w:val="1"/>
                <w:szCs w:val="1"/>
                <w:color w:val="auto"/>
              </w:rPr>
            </w:pPr>
          </w:p>
        </w:tc>
      </w:tr>
      <w:tr>
        <w:trPr>
          <w:trHeight w:val="153"/>
        </w:trPr>
        <w:tc>
          <w:tcPr>
            <w:tcW w:w="7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Exercised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39.10</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restricted stock transactions under the Omnibus Plan in 2025, 2024, and 2023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6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52"/>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1,841,544</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41.59</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966,093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44.44</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41.42</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(908,267)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40.26</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1,875,395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43.69</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1,604,119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60.23</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45.92</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(1,105,691)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47.21</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2,357,220</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53.28</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862,320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57.50</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(12,617)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47.55</w:t>
            </w:r>
          </w:p>
        </w:tc>
        <w:tc>
          <w:tcPr>
            <w:tcW w:w="0" w:type="dxa"/>
            <w:vAlign w:val="bottom"/>
          </w:tcPr>
          <w:p>
            <w:pPr>
              <w:spacing w:after="0"/>
              <w:rPr>
                <w:sz w:val="1"/>
                <w:szCs w:val="1"/>
                <w:color w:val="auto"/>
              </w:rPr>
            </w:pPr>
          </w:p>
        </w:tc>
      </w:tr>
      <w:tr>
        <w:trPr>
          <w:trHeight w:val="159"/>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(1,101,388)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50.02</w:t>
            </w:r>
          </w:p>
        </w:tc>
        <w:tc>
          <w:tcPr>
            <w:tcW w:w="0" w:type="dxa"/>
            <w:vAlign w:val="bottom"/>
          </w:tcPr>
          <w:p>
            <w:pPr>
              <w:spacing w:after="0"/>
              <w:rPr>
                <w:sz w:val="1"/>
                <w:szCs w:val="1"/>
                <w:color w:val="auto"/>
              </w:rPr>
            </w:pPr>
          </w:p>
        </w:tc>
      </w:tr>
      <w:tr>
        <w:trPr>
          <w:trHeight w:val="156"/>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2025</w:t>
            </w:r>
          </w:p>
        </w:tc>
        <w:tc>
          <w:tcPr>
            <w:tcW w:w="12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2,105,535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56.75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FNF restricted stock transactions under the F&amp;G Omnibus Plan in 2025, 2024, and 2023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760" w:type="dxa"/>
            <w:vAlign w:val="bottom"/>
          </w:tcPr>
          <w:p>
            <w:pPr>
              <w:spacing w:after="0"/>
              <w:rPr>
                <w:sz w:val="11"/>
                <w:szCs w:val="11"/>
                <w:color w:val="auto"/>
              </w:rPr>
            </w:pPr>
          </w:p>
        </w:tc>
        <w:tc>
          <w:tcPr>
            <w:tcW w:w="13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49"/>
        </w:trPr>
        <w:tc>
          <w:tcPr>
            <w:tcW w:w="87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Grant Date Fair Value</w:t>
            </w:r>
          </w:p>
        </w:tc>
        <w:tc>
          <w:tcPr>
            <w:tcW w:w="0" w:type="dxa"/>
            <w:vAlign w:val="bottom"/>
          </w:tcPr>
          <w:p>
            <w:pPr>
              <w:spacing w:after="0"/>
              <w:rPr>
                <w:sz w:val="1"/>
                <w:szCs w:val="1"/>
                <w:color w:val="auto"/>
              </w:rPr>
            </w:pPr>
          </w:p>
        </w:tc>
      </w:tr>
      <w:tr>
        <w:trPr>
          <w:trHeight w:val="152"/>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January 1, 2023</w:t>
            </w: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501,548</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42.31</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45.63</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(304,104)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42.87</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181,479</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41.08</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48.28</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(168,397)</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40.53</w:t>
            </w:r>
          </w:p>
        </w:tc>
        <w:tc>
          <w:tcPr>
            <w:tcW w:w="0" w:type="dxa"/>
            <w:vAlign w:val="bottom"/>
          </w:tcPr>
          <w:p>
            <w:pPr>
              <w:spacing w:after="0"/>
              <w:rPr>
                <w:sz w:val="1"/>
                <w:szCs w:val="1"/>
                <w:color w:val="auto"/>
              </w:rPr>
            </w:pPr>
          </w:p>
        </w:tc>
      </w:tr>
      <w:tr>
        <w:trPr>
          <w:trHeight w:val="144"/>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Granted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Canceled</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Vested</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8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2025</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Fair value of restricted stock awards and units is based on the grant date value of the underlying stock derived from quoted market prices. In 2024, we issued a $50 million restricted stock grant to our chairman, of which one quarter of the grant vested immediately, with the remaining three quarters vesting in equal installments over a period of three years on each anniversary of the grant date. The total fair value of restricted stock awards granted in the years ended December 31, 2025, 2024, and 2023 was $50 million, $97 million, and $43 million, respectively. The total fair value of restricted stock awards, which vested in the years ended December 31, 2025, 2024, and 2023 was $63 million, $76 million, and $51 million, respectively. Option awards are measured at fair value on the grant date using the Black Scholes Option Pricing Model. The intrinsic value of options exercised in the years ended December 31, 2025, 2024, and 2023 was $3 million, $9 million, and $8 million, respectively. Net earnings attributable to FNF Shareholders reflects stock-based compensation expense amounts of $88 million for the year ended December 31, 2025, $82 million for the year ended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and $60 million for the year ended December 31, 2023, which are included in personnel costs in the reported financial results of each period.</w:t>
      </w:r>
    </w:p>
    <w:p>
      <w:pPr>
        <w:spacing w:after="0" w:line="9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At December 31, 2025, the total unrecognized compensation cost related to non-vested stock option grants and restricted stock grants is $91 million, which is expected to be recognized in pre-tax income over a weighted average period of 1.69 years.</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Pension Plan</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In 2000, FNF merged with Chicago Title Corporation ("CTC"). In connection with the merger, we assumed CTC’s noncontributory defined contribution plan and noncontributory defined benefit pension plan (the “Pension Plan”). The Pension Plan covers certain CTC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post-retirement plans, the measurement date is December 31.</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On May 1, 2023, we elected to terminate the Pension Plan, subject to approval by the Pension Benefit Guarantee Corporation and the receipt of a favorable determination letter from the IRS. Upon termination, the account balance of each participant in the Pension Plan shall become fully vested. Each remaining participant or beneficiary in the Pension Plan shall be given one of the following options with respect to termination of the Pension Plan: (i) a lump-sum distribution of the participant's account balance; or (ii) an annuity benefit equal to the participant’s account balance.</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2024, we distributed substantially all of the Pension Plan assets to the participants or beneficiaries of the Pension Plan. As of December 31, 2024, the project benefit obligation and fair value of plan assets were immaterial. The net pension liability and net periodic expense included in our financial position and results of operations relating to the Pension Plan is not considered material for any period presented.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U - Financial Instruments with Off-Balance Sheet Risk and Concentration of Risk</w:t>
      </w:r>
    </w:p>
    <w:p>
      <w:pPr>
        <w:spacing w:after="0" w:line="96" w:lineRule="exact"/>
        <w:rPr>
          <w:sz w:val="20"/>
          <w:szCs w:val="20"/>
          <w:color w:val="auto"/>
        </w:rPr>
      </w:pPr>
    </w:p>
    <w:p>
      <w:pPr>
        <w:jc w:val="both"/>
        <w:ind w:firstLine="301"/>
        <w:spacing w:after="0" w:line="287" w:lineRule="auto"/>
        <w:rPr>
          <w:sz w:val="20"/>
          <w:szCs w:val="20"/>
          <w:color w:val="auto"/>
        </w:rPr>
      </w:pPr>
      <w:r>
        <w:rPr>
          <w:rFonts w:ascii="Times New Roman" w:cs="Times New Roman" w:eastAsia="Times New Roman" w:hAnsi="Times New Roman"/>
          <w:sz w:val="14"/>
          <w:szCs w:val="14"/>
          <w:color w:val="auto"/>
        </w:rPr>
        <w:t>In the normal course of business, we and certain of our subsidiaries enter into off-balance sheet credit arrangements associated with certain aspects of the title insurance business and other activities.</w:t>
      </w:r>
    </w:p>
    <w:p>
      <w:pPr>
        <w:spacing w:after="0" w:line="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We generate a significant amount of title insurance premiums in Texas, California, Florida, Pennsylvania and Illinois. Title insurance premiums as a percentage of the total title insurance premiums written from those five states are detailed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gridSpan w:val="2"/>
          </w:tcPr>
          <w:p>
            <w:pPr>
              <w:ind w:left="80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118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3"/>
        </w:trPr>
        <w:tc>
          <w:tcPr>
            <w:tcW w:w="7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Texas</w:t>
            </w:r>
          </w:p>
        </w:tc>
        <w:tc>
          <w:tcPr>
            <w:tcW w:w="7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14.1 %</w:t>
            </w:r>
          </w:p>
        </w:tc>
        <w:tc>
          <w:tcPr>
            <w:tcW w:w="100" w:type="dxa"/>
            <w:vAlign w:val="bottom"/>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13.8 %</w:t>
            </w:r>
          </w:p>
        </w:tc>
        <w:tc>
          <w:tcPr>
            <w:tcW w:w="10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14.3 %</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California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13.0 %</w:t>
            </w:r>
          </w:p>
        </w:tc>
      </w:tr>
      <w:tr>
        <w:trPr>
          <w:trHeight w:val="1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Florida</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9.4 %</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10.2 %</w:t>
            </w: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10.7 %</w:t>
            </w:r>
          </w:p>
        </w:tc>
      </w:tr>
      <w:tr>
        <w:trPr>
          <w:trHeight w:val="165"/>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Illinois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6.0 %</w:t>
            </w:r>
          </w:p>
        </w:tc>
      </w:tr>
      <w:tr>
        <w:trPr>
          <w:trHeight w:val="147"/>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Pennsylvania</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5.4 %</w:t>
            </w:r>
          </w:p>
        </w:tc>
        <w:tc>
          <w:tcPr>
            <w:tcW w:w="1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5.2 %</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4.9 %</w:t>
            </w: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Financial instruments that potentially subject us to concentrations of credit risk consist primarily of cash equivalents, short-term investments, and trade receivables.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place cash equivalents and short-term investments with high credit quality financial institutions and, by policy, limit the amount of credit exposure with any one financial institution.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in commercial paper of industrial firms and financial institutions are rated investment grade by nationally recognized rating agencies.</w:t>
      </w:r>
    </w:p>
    <w:p>
      <w:pPr>
        <w:spacing w:after="0" w:line="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V - Recent Accounting Pronouncements</w:t>
      </w:r>
    </w:p>
    <w:p>
      <w:pPr>
        <w:spacing w:after="0" w:line="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Adopted Pronouncements</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The amendments in this update enhance the transparency of the income tax disclosures by expanding on the disclosures required annually. The amendments require entities to disclose in their rate reconciliation table additional categories of information about federal, state, and foreign income taxes, in addition to providing details about the reconciling items in some categories if above a quantitative threshold. Additionally, the amendments require annual disclosure of income taxes paid (net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of refunds received) disaggregated by jurisdiction based on a quantitative threshold. We adopted this standard as of December 31, 2025 and are applying this guidance on a prospective basis. Refer to Note S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for further information.</w:t>
      </w:r>
    </w:p>
    <w:p>
      <w:pPr>
        <w:spacing w:after="0" w:line="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Pronouncements Not Yet Adopted</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The amendments in this update enhance transparency of certain expense captions by disclosing more granular information of specific expenses within those captions such as personnel costs, depreciation, and amortization. The amendments also require disclosure of qualitative description of amounts remaining in relevant expense captions that are not separately disaggregated. The amendments in this update are effective for all public companies for annual reporting periods beginning after December 15, 2026, and interim reporting periods beginning after December 15, 2027. Early adoption is permitted, and the amendments should be applied either prospectively to financial statements issued for reporting periods after the effective date or retrospectively to all prior periods presented in the financial statements. We do not expect to early adopt this standard and are in the process of assessing its impact on our disclosures upon adoption.</w:t>
      </w:r>
    </w:p>
    <w:p>
      <w:pPr>
        <w:spacing w:after="0" w:line="61"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In September 2025, the FASB issued ASU 2025-06, Intangibles—Goodwill and Other—Internal-Use Software (Subtopic 350-40): Targeted Improvements to the Accounting for Internal-Use Software. The amendments in this update refine capitalization thresholds by removing all references to project stages. The amendments require that an entity capitalize software costs when management has authorized and committed to funding the software project and when it is probable that the project will be completed and the software will be used to perform the function intended (“probable-to-complete recognition threshold”). Additionally, the amendments clarify the disclosure requirements for internal-use software costs. The amendments in this update are effective for all companies for annual and interim reporting periods beginning after December 15, 2027. Early adoption is permitted, and the amendments should be applied using a prospective, retrospective, or modified transition approach. We are in the process of assessing this standard and its impact upon adoption.</w:t>
      </w:r>
    </w:p>
    <w:p>
      <w:pPr>
        <w:spacing w:after="0" w:line="61" w:lineRule="exact"/>
        <w:rPr>
          <w:sz w:val="20"/>
          <w:szCs w:val="20"/>
          <w:color w:val="auto"/>
        </w:rPr>
      </w:pPr>
    </w:p>
    <w:p>
      <w:pPr>
        <w:jc w:val="both"/>
        <w:ind w:firstLine="255"/>
        <w:spacing w:after="0" w:line="256" w:lineRule="auto"/>
        <w:rPr>
          <w:sz w:val="20"/>
          <w:szCs w:val="20"/>
          <w:color w:val="auto"/>
        </w:rPr>
      </w:pPr>
      <w:r>
        <w:rPr>
          <w:rFonts w:ascii="Times New Roman" w:cs="Times New Roman" w:eastAsia="Times New Roman" w:hAnsi="Times New Roman"/>
          <w:sz w:val="14"/>
          <w:szCs w:val="14"/>
          <w:color w:val="auto"/>
        </w:rPr>
        <w:t>In November 2025, the FASB issued ASU 2025-09, Derivatives and Hedging (Topic 815): Hedge Accounting Improvements. The amendments in this update make improvements to the hedge accounting guidance, with the overall goal of simplifying the application of hedge accounting guidance. The main amendments in this Update include: Issue 1) Similar Risk Assessment for Cash Flow Hedges: expands the hedged risks permitted to be aggregated in a group of individual forecasted transactions in a cash flow hedge, enabling entities to apply hedge accounting to potentially broader portfolios of forecasted transactions, Issue 2) Hedging Forecasted Interest Payments on Choose-Your-Rate Debt Instruments: establishes a model that enables hedge accounting to be applied more broadly to choose-your-rate debt and address existing diversity in practice, Issue 3) Cash Flow Hedges of Nonfinancial Forecasted Transactions: expands hedge accounting for forecasted purchases and sales of nonfinancial assets subject to certain criteria, Issue 4) Net Written Options as Hedging Instruments: accommodates differences in the loan and swap markets that resulted from reference rate reform, eliminating the requirement for the net written option test in certain instances, and Issue 5) Foreign-Currency-Denominated Debt Instrument as Hedging Instrument and Hedged Item (Dual Hedge): eliminates the recognition and presentation mismatch related to a dual hedge strategy. The amendments in this update are effective for public companies for annual and interim reporting periods beginning after December 15, 2026. Early adoption is permitted, and the amendments should be applied using a prospective basis for all hedging relationships. We are in the process of assessing this standard and its impact upon adoption.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W - Market Risk Benefits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balances of and changes in MRBs associated with indexed annuities and fixed rate annuities for the years ended December 31, 2025 and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Pr>
          <w:p>
            <w:pPr>
              <w:spacing w:after="0"/>
              <w:rPr>
                <w:sz w:val="13"/>
                <w:szCs w:val="13"/>
                <w:color w:val="auto"/>
              </w:rPr>
            </w:pPr>
          </w:p>
        </w:tc>
        <w:tc>
          <w:tcPr>
            <w:tcW w:w="2200" w:type="dxa"/>
            <w:vAlign w:val="bottom"/>
            <w:gridSpan w:val="4"/>
          </w:tcPr>
          <w:p>
            <w:pPr>
              <w:jc w:val="right"/>
              <w:ind w:right="62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66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0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Fixed rate annuities</w:t>
            </w:r>
          </w:p>
        </w:tc>
      </w:tr>
      <w:tr>
        <w:trPr>
          <w:trHeight w:val="145"/>
        </w:trPr>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5"/>
          </w:tcPr>
          <w:p>
            <w:pPr>
              <w:ind w:left="7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0"/>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period, net liability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420</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314</w:t>
            </w:r>
          </w:p>
        </w:tc>
        <w:tc>
          <w:tcPr>
            <w:tcW w:w="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9"/>
        </w:trPr>
        <w:tc>
          <w:tcPr>
            <w:tcW w:w="6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54"/>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period, before effect of changes in the instrument-specific credit risk</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4"/>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Issuances and benefit payments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Attributed fees collected and interest accrual</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Actual policyholder behavior different from expected</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66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Changes in assumptions and other</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Effects of market related movements</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period, before effect of changes in the instrument-specific credit risk</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65"/>
        </w:trPr>
        <w:tc>
          <w:tcPr>
            <w:tcW w:w="6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Effect of changes in the instrument-specific credit risk</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period, net liability</w:t>
            </w: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812</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420</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reinsured market risk benefits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period, net of reinsurance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359</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71"/>
        </w:trPr>
        <w:tc>
          <w:tcPr>
            <w:tcW w:w="66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153"/>
        </w:trPr>
        <w:tc>
          <w:tcPr>
            <w:tcW w:w="66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Weighted-average attained age of policyholders weighted by total AV (years)</w:t>
            </w:r>
          </w:p>
        </w:tc>
        <w:tc>
          <w:tcPr>
            <w:tcW w:w="10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67.84</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84.69</w:t>
            </w: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67.98</w:t>
            </w: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83.51</w:t>
            </w:r>
          </w:p>
        </w:tc>
      </w:tr>
      <w:tr>
        <w:trPr>
          <w:trHeight w:val="165"/>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amount at risk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r>
    </w:tbl>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MRBs by amounts in an asset position and amounts in a liability position to the MRBs amounts in the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3760" w:type="dxa"/>
            <w:vAlign w:val="bottom"/>
          </w:tcPr>
          <w:p>
            <w:pPr>
              <w:spacing w:after="0"/>
              <w:rPr>
                <w:sz w:val="13"/>
                <w:szCs w:val="13"/>
                <w:color w:val="auto"/>
              </w:rPr>
            </w:pPr>
          </w:p>
        </w:tc>
        <w:tc>
          <w:tcPr>
            <w:tcW w:w="8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Reinsured</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Direct</w:t>
            </w: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Reinsured</w:t>
            </w: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0"/>
        </w:trPr>
        <w:tc>
          <w:tcPr>
            <w:tcW w:w="3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MRB asset</w:t>
            </w: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840" w:type="dxa"/>
            <w:vAlign w:val="bottom"/>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w:t>
            </w:r>
          </w:p>
        </w:tc>
      </w:tr>
      <w:tr>
        <w:trPr>
          <w:trHeight w:val="15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8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MRB asset</w:t>
            </w:r>
          </w:p>
        </w:tc>
        <w:tc>
          <w:tcPr>
            <w:tcW w:w="840" w:type="dxa"/>
            <w:vAlign w:val="bottom"/>
            <w:tcBorders>
              <w:top w:val="single" w:sz="8" w:color="auto"/>
              <w:bottom w:val="single" w:sz="8" w:color="auto"/>
            </w:tcBorders>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197</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w:t>
            </w:r>
          </w:p>
        </w:tc>
        <w:tc>
          <w:tcPr>
            <w:tcW w:w="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128</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189</w:t>
            </w: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37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4"/>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MRB liability</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84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548</w:t>
            </w:r>
          </w:p>
        </w:tc>
      </w:tr>
      <w:tr>
        <w:trPr>
          <w:trHeight w:val="153"/>
        </w:trPr>
        <w:tc>
          <w:tcPr>
            <w:tcW w:w="3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840" w:type="dxa"/>
            <w:vAlign w:val="bottom"/>
          </w:tcPr>
          <w:p>
            <w:pPr>
              <w:spacing w:after="0"/>
              <w:rPr>
                <w:sz w:val="13"/>
                <w:szCs w:val="13"/>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8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MRB liability</w:t>
            </w:r>
          </w:p>
        </w:tc>
        <w:tc>
          <w:tcPr>
            <w:tcW w:w="84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549</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14"/>
          <w:szCs w:val="14"/>
          <w:color w:val="auto"/>
        </w:rPr>
        <w:t>The net MRB liability increased for the year ended December 31, 2025, primarily as a result of collection of attributed fees, interest accrual, and MRB reserves for contracts issued within the period.</w:t>
      </w:r>
    </w:p>
    <w:p>
      <w:pPr>
        <w:spacing w:after="0" w:line="29"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For the year ended December 31, 2025, notable changes made to the inputs to the fair value estimates of MRBs calculations included an increase in risk-free rates leading to a favorable change in the MRBs associated with indexed annuities and decreases in the equity market related projections resulted in an increase in the net amount at risk associated with indexed annuities, leading to an unfavorable change in the value of the associated MRBs.</w:t>
      </w:r>
    </w:p>
    <w:p>
      <w:pPr>
        <w:spacing w:after="0" w:line="51" w:lineRule="exact"/>
        <w:rPr>
          <w:sz w:val="20"/>
          <w:szCs w:val="20"/>
          <w:color w:val="auto"/>
        </w:rPr>
      </w:pPr>
    </w:p>
    <w:p>
      <w:pPr>
        <w:jc w:val="both"/>
        <w:ind w:firstLine="255"/>
        <w:spacing w:after="0" w:line="254" w:lineRule="auto"/>
        <w:rPr>
          <w:sz w:val="20"/>
          <w:szCs w:val="20"/>
          <w:color w:val="auto"/>
        </w:rPr>
      </w:pPr>
      <w:r>
        <w:rPr>
          <w:rFonts w:ascii="Times New Roman" w:cs="Times New Roman" w:eastAsia="Times New Roman" w:hAnsi="Times New Roman"/>
          <w:sz w:val="14"/>
          <w:szCs w:val="14"/>
          <w:color w:val="auto"/>
        </w:rPr>
        <w:t>The net MRB liability increased for the year ended December 31, 2024, primarily as a result of collection of attributed fees, interest accrual, MRB reserves for contracts issued within the period, and changes in actuarial assumptions. These increases were partially offset by the effects of market related movements, including the impacts of higher risk-free rates and increases in the equity market related projections.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2024, notable changes made to the inputs to the fair value estimates of MRBs calculations included an increase in risk-free rates leading to a favorable change in the MRBs associated with indexed annuities and fixed rate annuities; increases in the equity market related projections resulted in a decrease in the net amount at risk associated with indexed annuities, leading to a favorable change in the value of the associated MRBs; and an increase in the rider benefit utilization assumption, leading to an unfavorable change in the value of the associated MRBs.</w:t>
      </w:r>
    </w:p>
    <w:p>
      <w:pPr>
        <w:spacing w:after="0" w:line="333" w:lineRule="exact"/>
        <w:rPr>
          <w:sz w:val="20"/>
          <w:szCs w:val="20"/>
          <w:color w:val="auto"/>
        </w:rPr>
      </w:pPr>
    </w:p>
    <w:p>
      <w:pPr>
        <w:jc w:val="both"/>
        <w:ind w:firstLine="255"/>
        <w:spacing w:after="0" w:line="258" w:lineRule="auto"/>
        <w:rPr>
          <w:sz w:val="20"/>
          <w:szCs w:val="20"/>
          <w:color w:val="auto"/>
        </w:rPr>
      </w:pPr>
      <w:r>
        <w:rPr>
          <w:rFonts w:ascii="Times New Roman" w:cs="Times New Roman" w:eastAsia="Times New Roman" w:hAnsi="Times New Roman"/>
          <w:sz w:val="14"/>
          <w:szCs w:val="14"/>
          <w:color w:val="auto"/>
        </w:rPr>
        <w:t>In addition, the cash flow assumptions used to calculate MRBs reflect the Company’s best estimates for policyholder behavior. F&amp;G reviews cash flow assumptions annually, generally in the third quarter. In 2024 and 2025, F&amp;G undertook a review of all significant assumptions and revised several assumptions relating to their deferred annuities (indexed annuities and fixed rate annuities) with MRBs. For the year ended December 31, 2025, F&amp;G updated assumptions including surrender rates, mortality and mortality improvement, partial withdrawals, projected CPI, and option budgets. All updates to these assumptions brought F&amp;G more in line with internal and overall industry experience since the prior assumption updates. These updates, in total, led to an increase in the net MRB liability for the year ended December 31, 2025. For the year ended December 31, 2024, F&amp;G updated assumptions including surrender rates, rider benefit election utilization, mortality improvement, and option budgets. All updates to these assumptions brought F&amp;G more in line with internal and overall industry experience since the prior assumption updates. These updates, in total, led to an increase in the net MRB liability for the year ended December 31, 2024.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X — Contractholder Funds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balances of and changes in contractholder funds’ account balances: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FABN (b)</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FHLB (b)</w:t>
            </w:r>
          </w:p>
        </w:tc>
      </w:tr>
      <w:tr>
        <w:trPr>
          <w:trHeight w:val="150"/>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30,235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17,442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2,817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6,714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3,801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2,241</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Premiums received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593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Policy charges (a)</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(378)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Surrenders and withdrawals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(3,831)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(2,485)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 payments</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(358)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(2,298)</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credited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866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182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33,226</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19,265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3,292</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2,898</w:t>
            </w:r>
          </w:p>
        </w:tc>
      </w:tr>
      <w:tr>
        <w:trPr>
          <w:trHeight w:val="15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Reconciling items (c)</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321</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Gross liability, end of year</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33,547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19,267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3,407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2,898</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3,198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12,863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887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after reinsurance</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30,349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6,404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2,520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2,898</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3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crediting rate</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4.84 %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6.13 %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amount at risk (d)</w:t>
            </w:r>
          </w:p>
        </w:tc>
        <w:tc>
          <w:tcPr>
            <w:tcW w:w="180" w:type="dxa"/>
            <w:vAlign w:val="bottom"/>
          </w:tcPr>
          <w:p>
            <w:pPr>
              <w:spacing w:after="0"/>
              <w:rPr>
                <w:sz w:val="13"/>
                <w:szCs w:val="13"/>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29,581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surrender value (e)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30,920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18,034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2,533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bl>
    <w:p>
      <w:pPr>
        <w:spacing w:after="0" w:line="63" w:lineRule="exact"/>
        <w:rPr>
          <w:sz w:val="20"/>
          <w:szCs w:val="20"/>
          <w:color w:val="auto"/>
        </w:rPr>
      </w:pPr>
    </w:p>
    <w:p>
      <w:pPr>
        <w:ind w:left="240" w:hanging="235"/>
        <w:spacing w:after="0"/>
        <w:tabs>
          <w:tab w:leader="none" w:pos="24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Contracts included in the contractholder funds are generally charged a premium and/or monthly assessments on the basis of the account balance.</w:t>
      </w:r>
    </w:p>
    <w:p>
      <w:pPr>
        <w:spacing w:after="0" w:line="12" w:lineRule="exact"/>
        <w:rPr>
          <w:rFonts w:ascii="Times New Roman" w:cs="Times New Roman" w:eastAsia="Times New Roman" w:hAnsi="Times New Roman"/>
          <w:sz w:val="11"/>
          <w:szCs w:val="11"/>
          <w:color w:val="auto"/>
        </w:rPr>
      </w:pPr>
    </w:p>
    <w:p>
      <w:pPr>
        <w:ind w:left="260" w:hanging="255"/>
        <w:spacing w:after="0" w:line="241" w:lineRule="auto"/>
        <w:tabs>
          <w:tab w:leader="none" w:pos="256"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260" w:hanging="255"/>
        <w:spacing w:after="0" w:line="241" w:lineRule="auto"/>
        <w:tabs>
          <w:tab w:leader="none" w:pos="25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reconciling items reconcile the account balance to the gross GAAP liability. For indexed annuities and universal life, the reconciling items represent embedded derivatives and include the combination of the host contracts and the fair value of the embedded derivatives. For FABN, the reconciling items represent basis adjustments due to the impact of fair value hedge accounting.</w:t>
      </w:r>
    </w:p>
    <w:p>
      <w:pPr>
        <w:ind w:left="260" w:hanging="255"/>
        <w:spacing w:after="0"/>
        <w:tabs>
          <w:tab w:leader="none" w:pos="260" w:val="left"/>
        </w:tabs>
        <w:numPr>
          <w:ilvl w:val="0"/>
          <w:numId w:val="5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3" w:lineRule="exact"/>
        <w:rPr>
          <w:sz w:val="20"/>
          <w:szCs w:val="20"/>
          <w:color w:val="auto"/>
        </w:rPr>
      </w:pPr>
    </w:p>
    <w:p>
      <w:pPr>
        <w:ind w:left="240" w:hanging="235"/>
        <w:spacing w:after="0"/>
        <w:tabs>
          <w:tab w:leader="none" w:pos="240" w:val="left"/>
        </w:tabs>
        <w:numPr>
          <w:ilvl w:val="0"/>
          <w:numId w:val="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are gross of reinsurance.</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3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2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FABN (b)</w:t>
            </w: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FHLB (b)</w:t>
            </w:r>
          </w:p>
        </w:tc>
      </w:tr>
      <w:tr>
        <w:trPr>
          <w:trHeight w:val="150"/>
        </w:trPr>
        <w:tc>
          <w:tcPr>
            <w:tcW w:w="3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27,164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13,443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2,391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2,613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2,539</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6,649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5,125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208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1,804</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Premiums received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Policy charges (a)</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Surrenders and withdrawals</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(3,832)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(1,479)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 payments</w:t>
            </w:r>
          </w:p>
        </w:tc>
        <w:tc>
          <w:tcPr>
            <w:tcW w:w="180" w:type="dxa"/>
            <w:vAlign w:val="bottom"/>
          </w:tcPr>
          <w:p>
            <w:pPr>
              <w:spacing w:after="0"/>
              <w:rPr>
                <w:sz w:val="13"/>
                <w:szCs w:val="13"/>
                <w:color w:val="auto"/>
              </w:rPr>
            </w:pPr>
          </w:p>
        </w:tc>
        <w:tc>
          <w:tcPr>
            <w:tcW w:w="13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(495)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(315)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(1,606)</w:t>
            </w:r>
          </w:p>
        </w:tc>
      </w:tr>
      <w:tr>
        <w:trPr>
          <w:trHeight w:val="165"/>
        </w:trPr>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credited</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821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w:t>
            </w:r>
          </w:p>
        </w:tc>
      </w:tr>
      <w:tr>
        <w:trPr>
          <w:trHeight w:val="153"/>
        </w:trPr>
        <w:tc>
          <w:tcPr>
            <w:tcW w:w="37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Other</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30,235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17,442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2,817</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Embedded derivative adjustment (c)</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219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Gross liability, end of year</w:t>
            </w:r>
          </w:p>
        </w:tc>
        <w:tc>
          <w:tcPr>
            <w:tcW w:w="18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30,454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17,442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2,896</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861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11,009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877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81"/>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after reinsurance</w:t>
            </w: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29,593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6,433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2,019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crediting rate</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4.42 %</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amount at risk (d)</w:t>
            </w:r>
          </w:p>
        </w:tc>
        <w:tc>
          <w:tcPr>
            <w:tcW w:w="180" w:type="dxa"/>
            <w:vAlign w:val="bottom"/>
          </w:tcPr>
          <w:p>
            <w:pPr>
              <w:spacing w:after="0"/>
              <w:rPr>
                <w:sz w:val="13"/>
                <w:szCs w:val="13"/>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80" w:type="dxa"/>
            <w:vAlign w:val="bottom"/>
          </w:tcPr>
          <w:p>
            <w:pPr>
              <w:spacing w:after="0"/>
              <w:rPr>
                <w:sz w:val="13"/>
                <w:szCs w:val="13"/>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1"/>
                <w:szCs w:val="11"/>
                <w:color w:val="auto"/>
              </w:rPr>
              <w:t>N/A</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74,279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N/A</w:t>
            </w: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surrender value (e)</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27,865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16,266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2,177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N/A</w:t>
            </w:r>
          </w:p>
        </w:tc>
      </w:tr>
    </w:tbl>
    <w:p>
      <w:pPr>
        <w:spacing w:after="0" w:line="63" w:lineRule="exact"/>
        <w:rPr>
          <w:sz w:val="20"/>
          <w:szCs w:val="20"/>
          <w:color w:val="auto"/>
        </w:rPr>
      </w:pPr>
    </w:p>
    <w:p>
      <w:pPr>
        <w:ind w:left="240" w:hanging="235"/>
        <w:spacing w:after="0"/>
        <w:tabs>
          <w:tab w:leader="none" w:pos="2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Contracts included in the contractholder funds are generally charged a premium and/or monthly assessments on the basis of the account balance.</w:t>
      </w:r>
    </w:p>
    <w:p>
      <w:pPr>
        <w:spacing w:after="0" w:line="12" w:lineRule="exact"/>
        <w:rPr>
          <w:rFonts w:ascii="Times New Roman" w:cs="Times New Roman" w:eastAsia="Times New Roman" w:hAnsi="Times New Roman"/>
          <w:sz w:val="11"/>
          <w:szCs w:val="11"/>
          <w:color w:val="auto"/>
        </w:rPr>
      </w:pPr>
    </w:p>
    <w:p>
      <w:pPr>
        <w:ind w:left="260" w:hanging="255"/>
        <w:spacing w:after="0" w:line="241" w:lineRule="auto"/>
        <w:tabs>
          <w:tab w:leader="none" w:pos="256"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FABN and FHLB are considered funding agreements that are investment contracts which follow the interest method of accounting, and therefore are not subject to ASU 2018-12 disclosure requirements. However, the Company has elected to present the liability for these agreements within the disaggregated roll forward as we believe it will provide meaningful information for users of the financials.</w:t>
      </w:r>
    </w:p>
    <w:p>
      <w:pPr>
        <w:ind w:left="240" w:hanging="235"/>
        <w:spacing w:after="0"/>
        <w:tabs>
          <w:tab w:leader="none" w:pos="2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embedded derivative adjustment reconciles the account balance to the gross GAAP liability and represents the combination of the host contract and the fair value of the embedded derivatives.</w:t>
      </w:r>
    </w:p>
    <w:p>
      <w:pPr>
        <w:ind w:left="260" w:hanging="255"/>
        <w:spacing w:after="0"/>
        <w:tabs>
          <w:tab w:leader="none" w:pos="26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those guarantees of benefits that are payable in the event of death, the net amount at risk is generally defined as the current guaranteed minimum death benefit in excess of the current account balance at the balance sheet date.</w:t>
      </w:r>
    </w:p>
    <w:p>
      <w:pPr>
        <w:ind w:left="240" w:hanging="235"/>
        <w:spacing w:after="0"/>
        <w:tabs>
          <w:tab w:leader="none" w:pos="240"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These amounts are gross of reinsurance.</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reconciles contractholder funds’ account balances to the contractholder funds liability in the Consolidated Balance Sheets: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13"/>
                <w:szCs w:val="13"/>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0"/>
        </w:trPr>
        <w:tc>
          <w:tcPr>
            <w:tcW w:w="7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Indexed annuities</w:t>
            </w:r>
          </w:p>
        </w:tc>
        <w:tc>
          <w:tcPr>
            <w:tcW w:w="1100" w:type="dxa"/>
            <w:vAlign w:val="bottom"/>
            <w:vMerge w:val="restart"/>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33,547</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30,454</w:t>
            </w:r>
          </w:p>
        </w:tc>
        <w:tc>
          <w:tcPr>
            <w:tcW w:w="0" w:type="dxa"/>
            <w:vAlign w:val="bottom"/>
          </w:tcPr>
          <w:p>
            <w:pPr>
              <w:spacing w:after="0"/>
              <w:rPr>
                <w:sz w:val="1"/>
                <w:szCs w:val="1"/>
                <w:color w:val="auto"/>
              </w:rPr>
            </w:pPr>
          </w:p>
        </w:tc>
      </w:tr>
      <w:tr>
        <w:trPr>
          <w:trHeight w:val="97"/>
        </w:trPr>
        <w:tc>
          <w:tcPr>
            <w:tcW w:w="7780" w:type="dxa"/>
            <w:vAlign w:val="bottom"/>
            <w:shd w:val="clear" w:color="auto" w:fill="CCEEFF"/>
          </w:tcPr>
          <w:p>
            <w:pPr>
              <w:spacing w:after="0"/>
              <w:rPr>
                <w:sz w:val="8"/>
                <w:szCs w:val="8"/>
                <w:color w:val="auto"/>
              </w:rPr>
            </w:pPr>
          </w:p>
        </w:tc>
        <w:tc>
          <w:tcPr>
            <w:tcW w:w="110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Fixed rate annuities</w:t>
            </w:r>
          </w:p>
        </w:tc>
        <w:tc>
          <w:tcPr>
            <w:tcW w:w="1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19,267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17,442</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262</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Universal life</w:t>
            </w:r>
          </w:p>
        </w:tc>
        <w:tc>
          <w:tcPr>
            <w:tcW w:w="1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3,407</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2,896</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FABN</w:t>
            </w:r>
          </w:p>
        </w:tc>
        <w:tc>
          <w:tcPr>
            <w:tcW w:w="1100" w:type="dxa"/>
            <w:vAlign w:val="bottom"/>
          </w:tcPr>
          <w:p>
            <w:pPr>
              <w:spacing w:after="0"/>
              <w:rPr>
                <w:sz w:val="13"/>
                <w:szCs w:val="13"/>
                <w:color w:val="auto"/>
              </w:rPr>
            </w:pPr>
          </w:p>
        </w:tc>
        <w:tc>
          <w:tcPr>
            <w:tcW w:w="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3,335</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2,463</w:t>
            </w: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FHLB</w:t>
            </w:r>
          </w:p>
        </w:tc>
        <w:tc>
          <w:tcPr>
            <w:tcW w:w="1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2,898</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2,852</w:t>
            </w:r>
          </w:p>
        </w:tc>
        <w:tc>
          <w:tcPr>
            <w:tcW w:w="0" w:type="dxa"/>
            <w:vAlign w:val="bottom"/>
          </w:tcPr>
          <w:p>
            <w:pPr>
              <w:spacing w:after="0"/>
              <w:rPr>
                <w:sz w:val="1"/>
                <w:szCs w:val="1"/>
                <w:color w:val="auto"/>
              </w:rPr>
            </w:pPr>
          </w:p>
        </w:tc>
      </w:tr>
      <w:tr>
        <w:trPr>
          <w:trHeight w:val="15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1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81"/>
        </w:trPr>
        <w:tc>
          <w:tcPr>
            <w:tcW w:w="7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100" w:type="dxa"/>
            <w:vAlign w:val="bottom"/>
            <w:tcBorders>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62,726</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56,404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Annually, typically in the third quarter, F&amp;G reviews assumptions associated with reserves for policy benefits and product guarantees. During the years ended December 31, 2025 and 2024, based on policyholder behavior, experience and interest rate movements, F&amp;G reflected updates to surrender assumptions for recent and expected near term policyholder behavior, as well as updated certain indexed annuities assumptions used to calculate the fair value of the embedded derivative component within Contractholder funds. These changes resulted in a decrease in Contractholder funds of approximately $22 million and $89 million for the years ended December 31, 2025 and December 31, 2024,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account values by range of guaranteed minimum crediting rates and the related range of difference, in basis points, between rates being credited to policyholders and the respective guaranteed minimums: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00" w:type="dxa"/>
            <w:vAlign w:val="bottom"/>
            <w:vMerge w:val="restart"/>
          </w:tcPr>
          <w:p>
            <w:pPr>
              <w:ind w:left="760"/>
              <w:spacing w:after="0"/>
              <w:rPr>
                <w:sz w:val="20"/>
                <w:szCs w:val="20"/>
                <w:color w:val="auto"/>
              </w:rPr>
            </w:pPr>
            <w:r>
              <w:rPr>
                <w:rFonts w:ascii="Times New Roman" w:cs="Times New Roman" w:eastAsia="Times New Roman" w:hAnsi="Times New Roman"/>
                <w:sz w:val="11"/>
                <w:szCs w:val="11"/>
                <w:b w:val="1"/>
                <w:bCs w:val="1"/>
                <w:color w:val="auto"/>
              </w:rPr>
              <w:t>Range of guaranteed minimum crediting rate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At Guaranteed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1 Basis Point-50 Basis Points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2"/>
          </w:tcPr>
          <w:p>
            <w:pPr>
              <w:jc w:val="right"/>
              <w:ind w:right="83"/>
              <w:spacing w:after="0" w:line="108" w:lineRule="exact"/>
              <w:rPr>
                <w:sz w:val="20"/>
                <w:szCs w:val="20"/>
                <w:color w:val="auto"/>
              </w:rPr>
            </w:pPr>
            <w:r>
              <w:rPr>
                <w:rFonts w:ascii="Times New Roman" w:cs="Times New Roman" w:eastAsia="Times New Roman" w:hAnsi="Times New Roman"/>
                <w:sz w:val="11"/>
                <w:szCs w:val="11"/>
                <w:b w:val="1"/>
                <w:bCs w:val="1"/>
                <w:color w:val="auto"/>
              </w:rPr>
              <w:t>51 Basis Points-150 Basis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tcPr>
          <w:p>
            <w:pPr>
              <w:jc w:val="right"/>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Greater Than 150 Basis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vMerge w:val="restart"/>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3"/>
        </w:trPr>
        <w:tc>
          <w:tcPr>
            <w:tcW w:w="37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Up to 1.50%</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659</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w:t>
            </w: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w:t>
            </w:r>
          </w:p>
        </w:tc>
        <w:tc>
          <w:tcPr>
            <w:tcW w:w="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812</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1,828</w:t>
            </w:r>
          </w:p>
        </w:tc>
        <w:tc>
          <w:tcPr>
            <w:tcW w:w="0" w:type="dxa"/>
            <w:vAlign w:val="bottom"/>
          </w:tcPr>
          <w:p>
            <w:pPr>
              <w:spacing w:after="0"/>
              <w:rPr>
                <w:sz w:val="1"/>
                <w:szCs w:val="1"/>
                <w:color w:val="auto"/>
              </w:rPr>
            </w:pPr>
          </w:p>
        </w:tc>
      </w:tr>
      <w:tr>
        <w:trPr>
          <w:trHeight w:val="15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212</w:t>
            </w: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Subtotal</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1,419</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1,443</w:t>
            </w:r>
          </w:p>
        </w:tc>
        <w:tc>
          <w:tcPr>
            <w:tcW w:w="80" w:type="dxa"/>
            <w:vAlign w:val="bottom"/>
          </w:tcPr>
          <w:p>
            <w:pPr>
              <w:spacing w:after="0"/>
              <w:rPr>
                <w:sz w:val="13"/>
                <w:szCs w:val="13"/>
                <w:color w:val="auto"/>
              </w:rPr>
            </w:pP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4,275</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700" w:type="dxa"/>
            <w:vAlign w:val="bottom"/>
            <w:shd w:val="clear" w:color="auto" w:fill="CCEEFF"/>
          </w:tcPr>
          <w:p>
            <w:pPr>
              <w:ind w:left="20"/>
              <w:spacing w:after="0" w:line="114" w:lineRule="exact"/>
              <w:rPr>
                <w:sz w:val="20"/>
                <w:szCs w:val="20"/>
                <w:color w:val="auto"/>
              </w:rPr>
            </w:pPr>
            <w:r>
              <w:rPr>
                <w:rFonts w:ascii="Times New Roman" w:cs="Times New Roman" w:eastAsia="Times New Roman" w:hAnsi="Times New Roman"/>
                <w:sz w:val="11"/>
                <w:szCs w:val="11"/>
                <w:color w:val="auto"/>
              </w:rPr>
              <w:t>No guaranteed minimum crediting rate</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jc w:val="right"/>
              <w:spacing w:after="0" w:line="114" w:lineRule="exact"/>
              <w:rPr>
                <w:sz w:val="20"/>
                <w:szCs w:val="20"/>
                <w:color w:val="auto"/>
              </w:rPr>
            </w:pPr>
            <w:r>
              <w:rPr>
                <w:rFonts w:ascii="Times New Roman" w:cs="Times New Roman" w:eastAsia="Times New Roman" w:hAnsi="Times New Roman"/>
                <w:sz w:val="11"/>
                <w:szCs w:val="11"/>
                <w:color w:val="auto"/>
              </w:rPr>
              <w:t>28,951</w:t>
            </w:r>
          </w:p>
        </w:tc>
        <w:tc>
          <w:tcPr>
            <w:tcW w:w="0" w:type="dxa"/>
            <w:vAlign w:val="bottom"/>
          </w:tcPr>
          <w:p>
            <w:pPr>
              <w:spacing w:after="0"/>
              <w:rPr>
                <w:sz w:val="1"/>
                <w:szCs w:val="1"/>
                <w:color w:val="auto"/>
              </w:rPr>
            </w:pPr>
          </w:p>
        </w:tc>
      </w:tr>
      <w:tr>
        <w:trPr>
          <w:trHeight w:val="156"/>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33,226</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Up to 1.50%</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15,548</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16,509</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492</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727</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1,530</w:t>
            </w: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2,264</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825</w:t>
            </w:r>
          </w:p>
        </w:tc>
        <w:tc>
          <w:tcPr>
            <w:tcW w:w="80" w:type="dxa"/>
            <w:vAlign w:val="bottom"/>
          </w:tcPr>
          <w:p>
            <w:pPr>
              <w:spacing w:after="0"/>
              <w:rPr>
                <w:sz w:val="13"/>
                <w:szCs w:val="13"/>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813</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17,544</w:t>
            </w:r>
          </w:p>
        </w:tc>
        <w:tc>
          <w:tcPr>
            <w:tcW w:w="8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19,265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Up to 1.50%</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2,898</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2,938</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354</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3,251</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3,292</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3700" w:type="dxa"/>
            <w:vAlign w:val="bottom"/>
            <w:vMerge w:val="restart"/>
          </w:tcPr>
          <w:p>
            <w:pPr>
              <w:ind w:left="820"/>
              <w:spacing w:after="0"/>
              <w:rPr>
                <w:sz w:val="20"/>
                <w:szCs w:val="20"/>
                <w:color w:val="auto"/>
              </w:rPr>
            </w:pPr>
            <w:r>
              <w:rPr>
                <w:rFonts w:ascii="Times New Roman" w:cs="Times New Roman" w:eastAsia="Times New Roman" w:hAnsi="Times New Roman"/>
                <w:sz w:val="11"/>
                <w:szCs w:val="11"/>
                <w:b w:val="1"/>
                <w:bCs w:val="1"/>
                <w:color w:val="auto"/>
              </w:rPr>
              <w:t>Range of guaranteed minimum crediting rate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At Guaranteed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5"/>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1 Basis Point-50 Basis Points</w:t>
            </w:r>
          </w:p>
        </w:tc>
        <w:tc>
          <w:tcPr>
            <w:tcW w:w="140" w:type="dxa"/>
            <w:vAlign w:val="bottom"/>
          </w:tcPr>
          <w:p>
            <w:pPr>
              <w:spacing w:after="0"/>
              <w:rPr>
                <w:sz w:val="9"/>
                <w:szCs w:val="9"/>
                <w:color w:val="auto"/>
              </w:rPr>
            </w:pPr>
          </w:p>
        </w:tc>
        <w:tc>
          <w:tcPr>
            <w:tcW w:w="12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51 Basis Points-150 Basis</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2"/>
          </w:tcPr>
          <w:p>
            <w:pPr>
              <w:jc w:val="right"/>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Greater Than 150 Basis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37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Minimum</w:t>
            </w: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Points Above</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Indexed annuities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Up to 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880</w:t>
            </w:r>
          </w:p>
        </w:tc>
        <w:tc>
          <w:tcPr>
            <w:tcW w:w="42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313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1,231</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Subtotal</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1,406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597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1,379</w:t>
            </w:r>
          </w:p>
        </w:tc>
        <w:tc>
          <w:tcPr>
            <w:tcW w:w="42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4,004</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7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No guaranteed minimum crediting rate</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26,231</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30,235</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Fixed rate annuities</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Up to 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20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773</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14,407</w:t>
            </w:r>
          </w:p>
        </w:tc>
        <w:tc>
          <w:tcPr>
            <w:tcW w:w="42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15,257</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0"/>
              </w:rPr>
              <w:t>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493</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w:t>
            </w:r>
          </w:p>
        </w:tc>
        <w:tc>
          <w:tcPr>
            <w:tcW w:w="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1,692</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865</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90"/>
              </w:rPr>
              <w:t>29</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15,750</w:t>
            </w:r>
          </w:p>
        </w:tc>
        <w:tc>
          <w:tcPr>
            <w:tcW w:w="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17,442</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Universal Life</w:t>
            </w: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Up to 1.50%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spacing w:after="0"/>
              <w:rPr>
                <w:sz w:val="14"/>
                <w:szCs w:val="14"/>
                <w:color w:val="auto"/>
              </w:rPr>
            </w:pPr>
          </w:p>
        </w:tc>
        <w:tc>
          <w:tcPr>
            <w:tcW w:w="2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20" w:type="dxa"/>
            <w:vAlign w:val="bottom"/>
            <w:gridSpan w:val="3"/>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w:t>
            </w:r>
          </w:p>
        </w:tc>
        <w:tc>
          <w:tcPr>
            <w:tcW w:w="0" w:type="dxa"/>
            <w:vAlign w:val="bottom"/>
          </w:tcPr>
          <w:p>
            <w:pPr>
              <w:spacing w:after="0"/>
              <w:rPr>
                <w:sz w:val="1"/>
                <w:szCs w:val="1"/>
                <w:color w:val="auto"/>
              </w:rPr>
            </w:pPr>
          </w:p>
        </w:tc>
      </w:tr>
      <w:tr>
        <w:trPr>
          <w:trHeight w:val="153"/>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1.51%-2.50%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gridSpan w:val="4"/>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Greater than 2.50%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0"/>
              </w:rPr>
              <w:t>—</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w:t>
            </w:r>
          </w:p>
        </w:tc>
        <w:tc>
          <w:tcPr>
            <w:tcW w:w="0" w:type="dxa"/>
            <w:vAlign w:val="bottom"/>
          </w:tcPr>
          <w:p>
            <w:pPr>
              <w:spacing w:after="0"/>
              <w:rPr>
                <w:sz w:val="1"/>
                <w:szCs w:val="1"/>
                <w:color w:val="auto"/>
              </w:rPr>
            </w:pPr>
          </w:p>
        </w:tc>
      </w:tr>
      <w:tr>
        <w:trPr>
          <w:trHeight w:val="150"/>
        </w:trPr>
        <w:tc>
          <w:tcPr>
            <w:tcW w:w="37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2,785</w:t>
            </w: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2,817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Y — Future Policy Benefits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balances and changes in the present value of expected net premiums and the present value of the expected FPB for nonparticipating traditional contracts: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4"/>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Expected net premiums</w:t>
            </w:r>
          </w:p>
        </w:tc>
        <w:tc>
          <w:tcPr>
            <w:tcW w:w="1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722</w:t>
            </w:r>
          </w:p>
        </w:tc>
        <w:tc>
          <w:tcPr>
            <w:tcW w:w="0" w:type="dxa"/>
            <w:vAlign w:val="bottom"/>
          </w:tcPr>
          <w:p>
            <w:pPr>
              <w:spacing w:after="0"/>
              <w:rPr>
                <w:sz w:val="1"/>
                <w:szCs w:val="1"/>
                <w:color w:val="auto"/>
              </w:rPr>
            </w:pP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5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5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Net premiums collected</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0" w:type="dxa"/>
            <w:vAlign w:val="bottom"/>
          </w:tcPr>
          <w:p>
            <w:pPr>
              <w:spacing w:after="0"/>
              <w:rPr>
                <w:sz w:val="1"/>
                <w:szCs w:val="1"/>
                <w:color w:val="auto"/>
              </w:rPr>
            </w:pP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Expected FPB</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2,071</w:t>
            </w:r>
          </w:p>
        </w:tc>
        <w:tc>
          <w:tcPr>
            <w:tcW w:w="0" w:type="dxa"/>
            <w:vAlign w:val="bottom"/>
          </w:tcPr>
          <w:p>
            <w:pPr>
              <w:spacing w:after="0"/>
              <w:rPr>
                <w:sz w:val="1"/>
                <w:szCs w:val="1"/>
                <w:color w:val="auto"/>
              </w:rPr>
            </w:pP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2,492</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5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5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2,536</w:t>
            </w:r>
          </w:p>
        </w:tc>
        <w:tc>
          <w:tcPr>
            <w:tcW w:w="0" w:type="dxa"/>
            <w:vAlign w:val="bottom"/>
          </w:tcPr>
          <w:p>
            <w:pPr>
              <w:spacing w:after="0"/>
              <w:rPr>
                <w:sz w:val="1"/>
                <w:szCs w:val="1"/>
                <w:color w:val="auto"/>
              </w:rPr>
            </w:pP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Benefits payments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(230)</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0" w:type="dxa"/>
            <w:vAlign w:val="bottom"/>
          </w:tcPr>
          <w:p>
            <w:pPr>
              <w:spacing w:after="0"/>
              <w:rPr>
                <w:sz w:val="1"/>
                <w:szCs w:val="1"/>
                <w:color w:val="auto"/>
              </w:rPr>
            </w:pP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2,167</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2,368</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(312)</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(435)</w:t>
            </w: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1,855</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1,933</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7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liability for future policy benefits</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w:t>
            </w:r>
          </w:p>
        </w:tc>
        <w:tc>
          <w:tcPr>
            <w:tcW w:w="0" w:type="dxa"/>
            <w:vAlign w:val="bottom"/>
          </w:tcPr>
          <w:p>
            <w:pPr>
              <w:spacing w:after="0"/>
              <w:rPr>
                <w:sz w:val="1"/>
                <w:szCs w:val="1"/>
                <w:color w:val="auto"/>
              </w:rPr>
            </w:pPr>
          </w:p>
        </w:tc>
      </w:tr>
      <w:tr>
        <w:trPr>
          <w:trHeight w:val="15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513</w:t>
            </w:r>
          </w:p>
        </w:tc>
        <w:tc>
          <w:tcPr>
            <w:tcW w:w="0" w:type="dxa"/>
            <w:vAlign w:val="bottom"/>
          </w:tcPr>
          <w:p>
            <w:pPr>
              <w:spacing w:after="0"/>
              <w:rPr>
                <w:sz w:val="1"/>
                <w:szCs w:val="1"/>
                <w:color w:val="auto"/>
              </w:rPr>
            </w:pP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for future policy benefits, after reinsurance recoverable</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781</w:t>
            </w: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7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duration of liability for future policyholder benefits (years)</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6.84</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balances and changes in the present value of the expected FPB for limited-payment contracts: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PRT</w:t>
            </w:r>
          </w:p>
        </w:tc>
        <w:tc>
          <w:tcPr>
            <w:tcW w:w="1580" w:type="dxa"/>
            <w:vAlign w:val="bottom"/>
            <w:tcBorders>
              <w:bottom w:val="single" w:sz="8" w:color="auto"/>
            </w:tcBorders>
          </w:tcPr>
          <w:p>
            <w:pPr>
              <w:spacing w:after="0"/>
              <w:rPr>
                <w:sz w:val="13"/>
                <w:szCs w:val="13"/>
                <w:color w:val="auto"/>
              </w:rPr>
            </w:pPr>
          </w:p>
        </w:tc>
      </w:tr>
      <w:tr>
        <w:trPr>
          <w:trHeight w:val="154"/>
        </w:trPr>
        <w:tc>
          <w:tcPr>
            <w:tcW w:w="7260" w:type="dxa"/>
            <w:vAlign w:val="bottom"/>
          </w:tcPr>
          <w:p>
            <w:pPr>
              <w:spacing w:after="0"/>
              <w:rPr>
                <w:sz w:val="13"/>
                <w:szCs w:val="13"/>
                <w:color w:val="auto"/>
              </w:rPr>
            </w:pPr>
          </w:p>
        </w:tc>
        <w:tc>
          <w:tcPr>
            <w:tcW w:w="15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0"/>
        </w:trPr>
        <w:tc>
          <w:tcPr>
            <w:tcW w:w="726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580" w:type="dxa"/>
            <w:vAlign w:val="bottom"/>
            <w:tcBorders>
              <w:bottom w:val="single" w:sz="8" w:color="auto"/>
            </w:tcBorders>
          </w:tcPr>
          <w:p>
            <w:pPr>
              <w:spacing w:after="0"/>
              <w:rPr>
                <w:sz w:val="13"/>
                <w:szCs w:val="13"/>
                <w:color w:val="auto"/>
              </w:rPr>
            </w:pPr>
          </w:p>
        </w:tc>
      </w:tr>
      <w:tr>
        <w:trPr>
          <w:trHeight w:val="15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540" w:type="dxa"/>
            <w:vAlign w:val="bottom"/>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4,189</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6,417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4,351</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changes in cash flow assumptions</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w:t>
            </w:r>
          </w:p>
        </w:tc>
      </w:tr>
      <w:tr>
        <w:trPr>
          <w:trHeight w:val="156"/>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6,394</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4,337</w:t>
            </w:r>
          </w:p>
        </w:tc>
      </w:tr>
      <w:tr>
        <w:trPr>
          <w:trHeight w:val="153"/>
        </w:trPr>
        <w:tc>
          <w:tcPr>
            <w:tcW w:w="72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2,324</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r>
      <w:tr>
        <w:trPr>
          <w:trHeight w:val="153"/>
        </w:trPr>
        <w:tc>
          <w:tcPr>
            <w:tcW w:w="72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Benefits payments</w:t>
            </w:r>
          </w:p>
        </w:tc>
        <w:tc>
          <w:tcPr>
            <w:tcW w:w="15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w:t>
            </w:r>
          </w:p>
        </w:tc>
      </w:tr>
      <w:tr>
        <w:trPr>
          <w:trHeight w:val="16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5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6,417</w:t>
            </w:r>
          </w:p>
        </w:tc>
      </w:tr>
      <w:tr>
        <w:trPr>
          <w:trHeight w:val="153"/>
        </w:trPr>
        <w:tc>
          <w:tcPr>
            <w:tcW w:w="7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5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(363)</w:t>
            </w:r>
          </w:p>
        </w:tc>
      </w:tr>
      <w:tr>
        <w:trPr>
          <w:trHeight w:val="181"/>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260" w:type="dxa"/>
            <w:vAlign w:val="bottom"/>
            <w:tcBorders>
              <w:bottom w:val="single" w:sz="8" w:color="CCEEFF"/>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r>
      <w:tr>
        <w:trPr>
          <w:trHeight w:val="17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for future policy benefits, after reinsurance recoverable</w:t>
            </w:r>
          </w:p>
        </w:tc>
        <w:tc>
          <w:tcPr>
            <w:tcW w:w="1540" w:type="dxa"/>
            <w:vAlign w:val="bottom"/>
            <w:tcBorders>
              <w:bottom w:val="single" w:sz="8" w:color="auto"/>
            </w:tcBorders>
            <w:shd w:val="clear" w:color="auto" w:fill="CCEEFF"/>
          </w:tcPr>
          <w:p>
            <w:pPr>
              <w:jc w:val="right"/>
              <w:ind w:right="142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72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580" w:type="dxa"/>
            <w:vAlign w:val="bottom"/>
          </w:tcPr>
          <w:p>
            <w:pPr>
              <w:spacing w:after="0"/>
              <w:rPr>
                <w:sz w:val="5"/>
                <w:szCs w:val="5"/>
                <w:color w:val="auto"/>
              </w:rPr>
            </w:pP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Weighted-average duration of liability for future policyholder benefits (years)</w:t>
            </w:r>
          </w:p>
        </w:tc>
        <w:tc>
          <w:tcPr>
            <w:tcW w:w="15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w:t>
            </w: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480" w:type="dxa"/>
            <w:vAlign w:val="bottom"/>
            <w:tcBorders>
              <w:bottom w:val="single" w:sz="8" w:color="auto"/>
            </w:tcBorders>
          </w:tcPr>
          <w:p>
            <w:pPr>
              <w:spacing w:after="0"/>
              <w:rPr>
                <w:sz w:val="13"/>
                <w:szCs w:val="13"/>
                <w:color w:val="auto"/>
              </w:rPr>
            </w:pPr>
          </w:p>
        </w:tc>
      </w:tr>
      <w:tr>
        <w:trPr>
          <w:trHeight w:val="154"/>
        </w:trPr>
        <w:tc>
          <w:tcPr>
            <w:tcW w:w="7260" w:type="dxa"/>
            <w:vAlign w:val="bottom"/>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0"/>
        </w:trPr>
        <w:tc>
          <w:tcPr>
            <w:tcW w:w="726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Borders>
              <w:bottom w:val="single" w:sz="8" w:color="auto"/>
            </w:tcBorders>
          </w:tcPr>
          <w:p>
            <w:pPr>
              <w:spacing w:after="0"/>
              <w:rPr>
                <w:sz w:val="13"/>
                <w:szCs w:val="13"/>
                <w:color w:val="auto"/>
              </w:rPr>
            </w:pPr>
          </w:p>
        </w:tc>
      </w:tr>
      <w:tr>
        <w:trPr>
          <w:trHeight w:val="155"/>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1480" w:type="dxa"/>
            <w:vAlign w:val="bottom"/>
            <w:shd w:val="clear" w:color="auto" w:fill="CCEEFF"/>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Beginning balance at original discount rate</w:t>
            </w:r>
          </w:p>
        </w:tc>
        <w:tc>
          <w:tcPr>
            <w:tcW w:w="1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1,732</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1,788</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adjusted for variances from expectation</w:t>
            </w:r>
          </w:p>
        </w:tc>
        <w:tc>
          <w:tcPr>
            <w:tcW w:w="14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1,721</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1,761</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14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r>
      <w:tr>
        <w:trPr>
          <w:trHeight w:val="153"/>
        </w:trPr>
        <w:tc>
          <w:tcPr>
            <w:tcW w:w="72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1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r>
      <w:tr>
        <w:trPr>
          <w:trHeight w:val="165"/>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Benefits payments</w:t>
            </w:r>
          </w:p>
        </w:tc>
        <w:tc>
          <w:tcPr>
            <w:tcW w:w="14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144"/>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Ending balance at original discount rate</w:t>
            </w:r>
          </w:p>
        </w:tc>
        <w:tc>
          <w:tcPr>
            <w:tcW w:w="14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1,679</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1,732</w:t>
            </w:r>
          </w:p>
        </w:tc>
      </w:tr>
      <w:tr>
        <w:trPr>
          <w:trHeight w:val="159"/>
        </w:trPr>
        <w:tc>
          <w:tcPr>
            <w:tcW w:w="7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Effect of changes in discount rate assumptions</w:t>
            </w:r>
          </w:p>
        </w:tc>
        <w:tc>
          <w:tcPr>
            <w:tcW w:w="14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(403)</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w:t>
            </w: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1480" w:type="dxa"/>
            <w:vAlign w:val="bottom"/>
            <w:tcBorders>
              <w:bottom w:val="single" w:sz="8" w:color="auto"/>
            </w:tcBorders>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1,276</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1,297</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78"/>
        </w:trPr>
        <w:tc>
          <w:tcPr>
            <w:tcW w:w="726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480" w:type="dxa"/>
            <w:vAlign w:val="bottom"/>
            <w:shd w:val="clear" w:color="auto" w:fill="CCEEFF"/>
          </w:tcPr>
          <w:p>
            <w:pPr>
              <w:spacing w:after="0"/>
              <w:rPr>
                <w:sz w:val="6"/>
                <w:szCs w:val="6"/>
                <w:color w:val="auto"/>
              </w:rPr>
            </w:pPr>
          </w:p>
        </w:tc>
      </w:tr>
      <w:tr>
        <w:trPr>
          <w:trHeight w:val="153"/>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liability for future policy benefits</w:t>
            </w:r>
          </w:p>
        </w:tc>
        <w:tc>
          <w:tcPr>
            <w:tcW w:w="1480" w:type="dxa"/>
            <w:vAlign w:val="bottom"/>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1,276</w:t>
            </w:r>
          </w:p>
        </w:tc>
        <w:tc>
          <w:tcPr>
            <w:tcW w:w="80" w:type="dxa"/>
            <w:vAlign w:val="bottom"/>
          </w:tcPr>
          <w:p>
            <w:pPr>
              <w:spacing w:after="0"/>
              <w:rPr>
                <w:sz w:val="13"/>
                <w:szCs w:val="13"/>
                <w:color w:val="auto"/>
              </w:rPr>
            </w:pPr>
          </w:p>
        </w:tc>
        <w:tc>
          <w:tcPr>
            <w:tcW w:w="50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1,297</w:t>
            </w:r>
          </w:p>
        </w:tc>
      </w:tr>
      <w:tr>
        <w:trPr>
          <w:trHeight w:val="159"/>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Reinsurance recoverable</w:t>
            </w:r>
          </w:p>
        </w:tc>
        <w:tc>
          <w:tcPr>
            <w:tcW w:w="14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56"/>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liability for future policy benefits, after reinsurance recoverable</w:t>
            </w:r>
          </w:p>
        </w:tc>
        <w:tc>
          <w:tcPr>
            <w:tcW w:w="1480" w:type="dxa"/>
            <w:vAlign w:val="bottom"/>
            <w:tcBorders>
              <w:bottom w:val="single" w:sz="8" w:color="auto"/>
            </w:tcBorders>
          </w:tcPr>
          <w:p>
            <w:pPr>
              <w:jc w:val="right"/>
              <w:ind w:right="136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1,170</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1,188</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89"/>
        </w:trPr>
        <w:tc>
          <w:tcPr>
            <w:tcW w:w="7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r>
      <w:tr>
        <w:trPr>
          <w:trHeight w:val="147"/>
        </w:trPr>
        <w:tc>
          <w:tcPr>
            <w:tcW w:w="72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Weighted-average duration of liability for future policyholder benefits (years)</w:t>
            </w:r>
          </w:p>
        </w:tc>
        <w:tc>
          <w:tcPr>
            <w:tcW w:w="14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12.32</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balances and changes in the liability for DPL for limited-payment contracts: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6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80" w:type="dxa"/>
            <w:vAlign w:val="bottom"/>
            <w:tcBorders>
              <w:bottom w:val="single" w:sz="8" w:color="auto"/>
            </w:tcBorders>
          </w:tcPr>
          <w:p>
            <w:pPr>
              <w:spacing w:after="0"/>
              <w:rPr>
                <w:sz w:val="13"/>
                <w:szCs w:val="13"/>
                <w:color w:val="auto"/>
              </w:rPr>
            </w:pPr>
          </w:p>
        </w:tc>
      </w:tr>
      <w:tr>
        <w:trPr>
          <w:trHeight w:val="154"/>
        </w:trPr>
        <w:tc>
          <w:tcPr>
            <w:tcW w:w="6620" w:type="dxa"/>
            <w:vAlign w:val="bottom"/>
          </w:tcPr>
          <w:p>
            <w:pPr>
              <w:spacing w:after="0"/>
              <w:rPr>
                <w:sz w:val="13"/>
                <w:szCs w:val="13"/>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7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PRT</w:t>
            </w: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w w:val="99"/>
              </w:rPr>
              <w:t>PRT</w:t>
            </w:r>
          </w:p>
        </w:tc>
      </w:tr>
      <w:tr>
        <w:trPr>
          <w:trHeight w:val="150"/>
        </w:trPr>
        <w:tc>
          <w:tcPr>
            <w:tcW w:w="6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gridSpan w:val="3"/>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4"/>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beginning of year</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r>
      <w:tr>
        <w:trPr>
          <w:trHeight w:val="153"/>
        </w:trPr>
        <w:tc>
          <w:tcPr>
            <w:tcW w:w="66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Effect of changes in cash flow assumptions</w:t>
            </w:r>
          </w:p>
        </w:tc>
        <w:tc>
          <w:tcPr>
            <w:tcW w:w="3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6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Effect of actual variances from expected experience</w:t>
            </w:r>
          </w:p>
        </w:tc>
        <w:tc>
          <w:tcPr>
            <w:tcW w:w="3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adjusted for variances from expectation</w:t>
            </w:r>
          </w:p>
        </w:tc>
        <w:tc>
          <w:tcPr>
            <w:tcW w:w="380" w:type="dxa"/>
            <w:vAlign w:val="bottom"/>
          </w:tcPr>
          <w:p>
            <w:pPr>
              <w:spacing w:after="0"/>
              <w:rPr>
                <w:sz w:val="12"/>
                <w:szCs w:val="1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r>
      <w:tr>
        <w:trPr>
          <w:trHeight w:val="165"/>
        </w:trPr>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Issuances</w:t>
            </w:r>
          </w:p>
        </w:tc>
        <w:tc>
          <w:tcPr>
            <w:tcW w:w="3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6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Interest accrual</w:t>
            </w:r>
          </w:p>
        </w:tc>
        <w:tc>
          <w:tcPr>
            <w:tcW w:w="38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spacing w:after="0"/>
              <w:rPr>
                <w:sz w:val="13"/>
                <w:szCs w:val="13"/>
                <w:color w:val="auto"/>
              </w:rPr>
            </w:pPr>
          </w:p>
        </w:tc>
        <w:tc>
          <w:tcPr>
            <w:tcW w:w="6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r>
      <w:tr>
        <w:trPr>
          <w:trHeight w:val="159"/>
        </w:trPr>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Amortization</w:t>
            </w:r>
          </w:p>
        </w:tc>
        <w:tc>
          <w:tcPr>
            <w:tcW w:w="3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6"/>
        </w:trPr>
        <w:tc>
          <w:tcPr>
            <w:tcW w:w="6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end of year</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76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20"/>
        </w:trPr>
        <w:tc>
          <w:tcPr>
            <w:tcW w:w="6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net FPB to the FPB in the Consolidated Balance Sheets. The DPL for Immediate Annuities and PRT is presented together with the FPB in the Consolidated Balance Sheets and has been included as a reconciling item in the table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4"/>
        </w:trPr>
        <w:tc>
          <w:tcPr>
            <w:tcW w:w="8340" w:type="dxa"/>
            <w:vAlign w:val="bottom"/>
          </w:tcPr>
          <w:p>
            <w:pPr>
              <w:spacing w:after="0"/>
              <w:rPr>
                <w:sz w:val="13"/>
                <w:szCs w:val="13"/>
                <w:color w:val="auto"/>
              </w:rPr>
            </w:pPr>
          </w:p>
        </w:tc>
        <w:tc>
          <w:tcPr>
            <w:tcW w:w="9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0"/>
        </w:trPr>
        <w:tc>
          <w:tcPr>
            <w:tcW w:w="8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gridSpan w:val="3"/>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80" w:type="dxa"/>
            <w:vAlign w:val="bottom"/>
          </w:tcPr>
          <w:p>
            <w:pPr>
              <w:spacing w:after="0"/>
              <w:rPr>
                <w:sz w:val="13"/>
                <w:szCs w:val="13"/>
                <w:color w:val="auto"/>
              </w:rPr>
            </w:pPr>
          </w:p>
        </w:tc>
      </w:tr>
      <w:tr>
        <w:trPr>
          <w:trHeight w:val="16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94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1,302</w:t>
            </w: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9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1,276</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1,297</w:t>
            </w:r>
          </w:p>
        </w:tc>
      </w:tr>
      <w:tr>
        <w:trPr>
          <w:trHeight w:val="16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r>
      <w:tr>
        <w:trPr>
          <w:trHeight w:val="153"/>
        </w:trPr>
        <w:tc>
          <w:tcPr>
            <w:tcW w:w="83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Immediate annuities DPL</w:t>
            </w:r>
          </w:p>
        </w:tc>
        <w:tc>
          <w:tcPr>
            <w:tcW w:w="9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r>
      <w:tr>
        <w:trPr>
          <w:trHeight w:val="15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 DPL</w:t>
            </w:r>
          </w:p>
        </w:tc>
        <w:tc>
          <w:tcPr>
            <w:tcW w:w="9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6"/>
        </w:trPr>
        <w:tc>
          <w:tcPr>
            <w:tcW w:w="83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4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10,755</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8,749</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provides the amount of undiscounted and discounted expected gross premiums and expected future benefits and expenses for nonparticipating traditional and limited-payment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4"/>
          </w:tcPr>
          <w:p>
            <w:pPr>
              <w:ind w:left="960"/>
              <w:spacing w:after="0"/>
              <w:rPr>
                <w:sz w:val="20"/>
                <w:szCs w:val="20"/>
                <w:color w:val="auto"/>
              </w:rPr>
            </w:pPr>
            <w:r>
              <w:rPr>
                <w:rFonts w:ascii="Times New Roman" w:cs="Times New Roman" w:eastAsia="Times New Roman" w:hAnsi="Times New Roman"/>
                <w:sz w:val="11"/>
                <w:szCs w:val="11"/>
                <w:b w:val="1"/>
                <w:bCs w:val="1"/>
                <w:color w:val="auto"/>
              </w:rPr>
              <w:t>Undiscounted</w:t>
            </w:r>
          </w:p>
        </w:tc>
        <w:tc>
          <w:tcPr>
            <w:tcW w:w="220" w:type="dxa"/>
            <w:vAlign w:val="bottom"/>
          </w:tcPr>
          <w:p>
            <w:pPr>
              <w:spacing w:after="0"/>
              <w:rPr>
                <w:sz w:val="13"/>
                <w:szCs w:val="13"/>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Discounted</w:t>
            </w:r>
          </w:p>
        </w:tc>
        <w:tc>
          <w:tcPr>
            <w:tcW w:w="1180" w:type="dxa"/>
            <w:vAlign w:val="bottom"/>
          </w:tcPr>
          <w:p>
            <w:pPr>
              <w:spacing w:after="0"/>
              <w:rPr>
                <w:sz w:val="13"/>
                <w:szCs w:val="13"/>
                <w:color w:val="auto"/>
              </w:rPr>
            </w:pPr>
          </w:p>
        </w:tc>
      </w:tr>
      <w:tr>
        <w:trPr>
          <w:trHeight w:val="150"/>
        </w:trPr>
        <w:tc>
          <w:tcPr>
            <w:tcW w:w="5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future benefit payments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2,511</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2,705</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1,857</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1,948</w:t>
            </w:r>
          </w:p>
        </w:tc>
      </w:tr>
      <w:tr>
        <w:trPr>
          <w:trHeight w:val="153"/>
        </w:trPr>
        <w:tc>
          <w:tcPr>
            <w:tcW w:w="5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future gross premiums</w:t>
            </w:r>
          </w:p>
        </w:tc>
        <w:tc>
          <w:tcPr>
            <w:tcW w:w="160" w:type="dxa"/>
            <w:vAlign w:val="bottom"/>
          </w:tcPr>
          <w:p>
            <w:pPr>
              <w:spacing w:after="0"/>
              <w:rPr>
                <w:sz w:val="13"/>
                <w:szCs w:val="13"/>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848</w:t>
            </w:r>
          </w:p>
        </w:tc>
        <w:tc>
          <w:tcPr>
            <w:tcW w:w="2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630</w:t>
            </w:r>
          </w:p>
        </w:tc>
        <w:tc>
          <w:tcPr>
            <w:tcW w:w="3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681</w:t>
            </w:r>
          </w:p>
        </w:tc>
      </w:tr>
      <w:tr>
        <w:trPr>
          <w:trHeight w:val="165"/>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53"/>
        </w:trPr>
        <w:tc>
          <w:tcPr>
            <w:tcW w:w="5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future benefit payments</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3,095</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3,189</w:t>
            </w:r>
          </w:p>
        </w:tc>
        <w:tc>
          <w:tcPr>
            <w:tcW w:w="18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1,276</w:t>
            </w:r>
          </w:p>
        </w:tc>
        <w:tc>
          <w:tcPr>
            <w:tcW w:w="3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1,297</w:t>
            </w:r>
          </w:p>
        </w:tc>
      </w:tr>
      <w:tr>
        <w:trPr>
          <w:trHeight w:val="165"/>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future gross premiums</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1"/>
                <w:szCs w:val="11"/>
                <w:color w:val="auto"/>
              </w:rPr>
              <w:t>— —</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52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PRT</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4"/>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future benefit payments</w:t>
            </w: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13,074</w:t>
            </w:r>
          </w:p>
        </w:tc>
        <w:tc>
          <w:tcPr>
            <w:tcW w:w="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10,038</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8,112</w:t>
            </w: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6,054</w:t>
            </w:r>
          </w:p>
        </w:tc>
      </w:tr>
      <w:tr>
        <w:trPr>
          <w:trHeight w:val="147"/>
        </w:trPr>
        <w:tc>
          <w:tcPr>
            <w:tcW w:w="52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future gross premiums</w:t>
            </w:r>
          </w:p>
        </w:tc>
        <w:tc>
          <w:tcPr>
            <w:tcW w:w="160" w:type="dxa"/>
            <w:vAlign w:val="bottom"/>
          </w:tcPr>
          <w:p>
            <w:pPr>
              <w:spacing w:after="0"/>
              <w:rPr>
                <w:sz w:val="12"/>
                <w:szCs w:val="12"/>
                <w:color w:val="auto"/>
              </w:rPr>
            </w:pP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2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bl>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amount of revenue and interest related to nonparticipating traditional and limited-payment contracts recognized in the Consolidated Statements of Earnings: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Gross Premiums (a)</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Interest Expense (b)</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4"/>
        </w:trPr>
        <w:tc>
          <w:tcPr>
            <w:tcW w:w="26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50"/>
        </w:trPr>
        <w:tc>
          <w:tcPr>
            <w:tcW w:w="2620" w:type="dxa"/>
            <w:vAlign w:val="bottom"/>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26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gridSpan w:val="3"/>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4"/>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Traditional life</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r>
      <w:tr>
        <w:trPr>
          <w:trHeight w:val="153"/>
        </w:trPr>
        <w:tc>
          <w:tcPr>
            <w:tcW w:w="2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Immediate annuities</w:t>
            </w:r>
          </w:p>
        </w:tc>
        <w:tc>
          <w:tcPr>
            <w:tcW w:w="940" w:type="dxa"/>
            <w:vAlign w:val="bottom"/>
          </w:tcPr>
          <w:p>
            <w:pPr>
              <w:spacing w:after="0"/>
              <w:rPr>
                <w:sz w:val="13"/>
                <w:szCs w:val="13"/>
                <w:color w:val="auto"/>
              </w:rPr>
            </w:pPr>
          </w:p>
        </w:tc>
        <w:tc>
          <w:tcPr>
            <w:tcW w:w="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5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PRT</w:t>
            </w:r>
          </w:p>
        </w:tc>
        <w:tc>
          <w:tcPr>
            <w:tcW w:w="9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2,107</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w:t>
            </w:r>
          </w:p>
        </w:tc>
        <w:tc>
          <w:tcPr>
            <w:tcW w:w="10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1,964</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w:t>
            </w:r>
          </w:p>
        </w:tc>
      </w:tr>
      <w:tr>
        <w:trPr>
          <w:trHeight w:val="156"/>
        </w:trPr>
        <w:tc>
          <w:tcPr>
            <w:tcW w:w="262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94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2,223</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2,346</w:t>
            </w:r>
          </w:p>
        </w:tc>
        <w:tc>
          <w:tcPr>
            <w:tcW w:w="10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2,111</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336</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197</w:t>
            </w:r>
          </w:p>
        </w:tc>
      </w:tr>
      <w:tr>
        <w:trPr>
          <w:trHeight w:val="20"/>
        </w:trPr>
        <w:tc>
          <w:tcPr>
            <w:tcW w:w="2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60" w:hanging="155"/>
        <w:spacing w:after="0"/>
        <w:tabs>
          <w:tab w:leader="none" w:pos="16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Life insurance premiums and other fees on the Consolidated Statements of Earnings.</w:t>
      </w:r>
    </w:p>
    <w:p>
      <w:pPr>
        <w:spacing w:after="0" w:line="20"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Benefits and other changes in policy reserves (remeasurement gains (a))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weighted-average interest rate:</w:t>
      </w:r>
    </w:p>
    <w:p>
      <w:pPr>
        <w:spacing w:after="0" w:line="3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80" w:type="dxa"/>
            <w:vAlign w:val="bottom"/>
          </w:tcPr>
          <w:p>
            <w:pPr>
              <w:spacing w:after="0"/>
              <w:rPr>
                <w:sz w:val="13"/>
                <w:szCs w:val="13"/>
                <w:color w:val="auto"/>
              </w:rPr>
            </w:pPr>
          </w:p>
        </w:tc>
        <w:tc>
          <w:tcPr>
            <w:tcW w:w="10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58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9"/>
        </w:trPr>
        <w:tc>
          <w:tcPr>
            <w:tcW w:w="66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r>
      <w:tr>
        <w:trPr>
          <w:trHeight w:val="169"/>
        </w:trPr>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accretion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2.34 %</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2.33 %</w:t>
            </w:r>
          </w:p>
        </w:tc>
      </w:tr>
      <w:tr>
        <w:trPr>
          <w:trHeight w:val="153"/>
        </w:trPr>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Current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4.77 %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5.44 %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5.03 %</w:t>
            </w:r>
          </w:p>
        </w:tc>
      </w:tr>
      <w:tr>
        <w:trPr>
          <w:trHeight w:val="165"/>
        </w:trPr>
        <w:tc>
          <w:tcPr>
            <w:tcW w:w="7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Immediate annuities</w:t>
            </w: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53"/>
        </w:trPr>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accretion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3.20 %</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3.17 %</w:t>
            </w:r>
          </w:p>
        </w:tc>
        <w:tc>
          <w:tcPr>
            <w:tcW w:w="8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3.14 %</w:t>
            </w:r>
          </w:p>
        </w:tc>
      </w:tr>
      <w:tr>
        <w:trPr>
          <w:trHeight w:val="165"/>
        </w:trPr>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Current discount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5.45 %</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4.98 %</w:t>
            </w:r>
          </w:p>
        </w:tc>
      </w:tr>
      <w:tr>
        <w:trPr>
          <w:trHeight w:val="154"/>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4"/>
        </w:trPr>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accretion rate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4.87 %</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4.72 %</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4.61 %</w:t>
            </w:r>
          </w:p>
        </w:tc>
      </w:tr>
      <w:tr>
        <w:trPr>
          <w:trHeight w:val="147"/>
        </w:trPr>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Current discount rate</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4.98 %</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5.54 %</w:t>
            </w:r>
          </w:p>
        </w:tc>
        <w:tc>
          <w:tcPr>
            <w:tcW w:w="80" w:type="dxa"/>
            <w:vAlign w:val="bottom"/>
          </w:tcPr>
          <w:p>
            <w:pPr>
              <w:spacing w:after="0"/>
              <w:rPr>
                <w:sz w:val="12"/>
                <w:szCs w:val="1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5.03 %</w:t>
            </w:r>
          </w:p>
        </w:tc>
      </w:tr>
    </w:tbl>
    <w:p>
      <w:pPr>
        <w:spacing w:after="0" w:line="1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summarize the actual experience and expected experience for mortality and lapses of the FPB:</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00" w:type="dxa"/>
            <w:vAlign w:val="bottom"/>
          </w:tcPr>
          <w:p>
            <w:pPr>
              <w:spacing w:after="0"/>
              <w:rPr>
                <w:sz w:val="8"/>
                <w:szCs w:val="8"/>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060" w:type="dxa"/>
            <w:vAlign w:val="bottom"/>
            <w:gridSpan w:val="2"/>
          </w:tcPr>
          <w:p>
            <w:pPr>
              <w:jc w:val="center"/>
              <w:ind w:right="60"/>
              <w:spacing w:after="0" w:line="102" w:lineRule="exact"/>
              <w:rPr>
                <w:sz w:val="20"/>
                <w:szCs w:val="20"/>
                <w:color w:val="auto"/>
              </w:rPr>
            </w:pPr>
            <w:r>
              <w:rPr>
                <w:rFonts w:ascii="Times New Roman" w:cs="Times New Roman" w:eastAsia="Times New Roman" w:hAnsi="Times New Roman"/>
                <w:sz w:val="11"/>
                <w:szCs w:val="11"/>
                <w:b w:val="1"/>
                <w:bCs w:val="1"/>
                <w:color w:val="auto"/>
              </w:rPr>
              <w:t>Immediate</w:t>
            </w: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PRT</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060" w:type="dxa"/>
            <w:vAlign w:val="bottom"/>
            <w:gridSpan w:val="2"/>
          </w:tcPr>
          <w:p>
            <w:pPr>
              <w:jc w:val="right"/>
              <w:ind w:right="300"/>
              <w:spacing w:after="0" w:line="102" w:lineRule="exact"/>
              <w:rPr>
                <w:sz w:val="20"/>
                <w:szCs w:val="20"/>
                <w:color w:val="auto"/>
              </w:rPr>
            </w:pPr>
            <w:r>
              <w:rPr>
                <w:rFonts w:ascii="Times New Roman" w:cs="Times New Roman" w:eastAsia="Times New Roman" w:hAnsi="Times New Roman"/>
                <w:sz w:val="11"/>
                <w:szCs w:val="11"/>
                <w:b w:val="1"/>
                <w:bCs w:val="1"/>
                <w:color w:val="auto"/>
              </w:rPr>
              <w:t>Immediate</w:t>
            </w:r>
          </w:p>
        </w:tc>
        <w:tc>
          <w:tcPr>
            <w:tcW w:w="9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PRT</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Traditional life</w:t>
            </w:r>
          </w:p>
        </w:tc>
        <w:tc>
          <w:tcPr>
            <w:tcW w:w="1080" w:type="dxa"/>
            <w:vAlign w:val="bottom"/>
            <w:gridSpan w:val="2"/>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Immediate</w:t>
            </w:r>
          </w:p>
        </w:tc>
        <w:tc>
          <w:tcPr>
            <w:tcW w:w="86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PRT</w:t>
            </w:r>
          </w:p>
        </w:tc>
        <w:tc>
          <w:tcPr>
            <w:tcW w:w="0" w:type="dxa"/>
            <w:vAlign w:val="bottom"/>
          </w:tcPr>
          <w:p>
            <w:pPr>
              <w:spacing w:after="0"/>
              <w:rPr>
                <w:sz w:val="1"/>
                <w:szCs w:val="1"/>
                <w:color w:val="auto"/>
              </w:rPr>
            </w:pPr>
          </w:p>
        </w:tc>
      </w:tr>
      <w:tr>
        <w:trPr>
          <w:trHeight w:val="150"/>
        </w:trPr>
        <w:tc>
          <w:tcPr>
            <w:tcW w:w="20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annuities</w:t>
            </w:r>
          </w:p>
        </w:tc>
        <w:tc>
          <w:tcPr>
            <w:tcW w:w="9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annuities</w:t>
            </w:r>
          </w:p>
        </w:tc>
        <w:tc>
          <w:tcPr>
            <w:tcW w:w="9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annuities</w:t>
            </w: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Mortality</w:t>
            </w: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2.6 %</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2.7 %</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3.2 %</w:t>
            </w:r>
          </w:p>
        </w:tc>
        <w:tc>
          <w:tcPr>
            <w:tcW w:w="0" w:type="dxa"/>
            <w:vAlign w:val="bottom"/>
          </w:tcPr>
          <w:p>
            <w:pPr>
              <w:spacing w:after="0"/>
              <w:rPr>
                <w:sz w:val="1"/>
                <w:szCs w:val="1"/>
                <w:color w:val="auto"/>
              </w:rPr>
            </w:pPr>
          </w:p>
        </w:tc>
      </w:tr>
      <w:tr>
        <w:trPr>
          <w:trHeight w:val="153"/>
        </w:trPr>
        <w:tc>
          <w:tcPr>
            <w:tcW w:w="2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1.6 %</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1.7 %</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1.5 %</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1.9 %</w:t>
            </w: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2.5 %</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1.4 %</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1.8 %</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2.3 %</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Lapses</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Actual experience</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0.1 %</w:t>
            </w:r>
          </w:p>
        </w:tc>
        <w:tc>
          <w:tcPr>
            <w:tcW w:w="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65"/>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Expected experience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0.6 %</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0.5 %</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0.3 %</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additional information for periods in which a cohort has a net premium ratio (“NPR”) greater than 100% (and therefore capped at 100%) (dollars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2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0" w:type="dxa"/>
            <w:vAlign w:val="bottom"/>
          </w:tcPr>
          <w:p>
            <w:pPr>
              <w:jc w:val="right"/>
              <w:ind w:right="146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3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Cohort X</w:t>
            </w:r>
          </w:p>
        </w:tc>
        <w:tc>
          <w:tcPr>
            <w:tcW w:w="274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Cohort X</w:t>
            </w:r>
          </w:p>
        </w:tc>
        <w:tc>
          <w:tcPr>
            <w:tcW w:w="2800" w:type="dxa"/>
            <w:vAlign w:val="bottom"/>
            <w:tcBorders>
              <w:top w:val="single" w:sz="8" w:color="auto"/>
            </w:tcBorders>
          </w:tcPr>
          <w:p>
            <w:pPr>
              <w:jc w:val="right"/>
              <w:ind w:right="1003"/>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6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NPR before capping</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104 %</w:t>
            </w:r>
          </w:p>
        </w:tc>
        <w:tc>
          <w:tcPr>
            <w:tcW w:w="2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Term with return of premium Non-NY Cohort</w:t>
            </w:r>
          </w:p>
        </w:tc>
        <w:tc>
          <w:tcPr>
            <w:tcW w:w="2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108 %  Term with return of premium Non-NY Cohort</w:t>
            </w:r>
          </w:p>
        </w:tc>
      </w:tr>
      <w:tr>
        <w:trPr>
          <w:trHeight w:val="153"/>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Reserves before NPR capping</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1,145</w:t>
            </w:r>
          </w:p>
        </w:tc>
        <w:tc>
          <w:tcPr>
            <w:tcW w:w="28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Term with return of premium Non-NY Cohort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1,147</w:t>
            </w:r>
          </w:p>
        </w:tc>
        <w:tc>
          <w:tcPr>
            <w:tcW w:w="280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rPr>
              <w:t>Term with return of premium Non-NY Cohort</w:t>
            </w:r>
          </w:p>
        </w:tc>
      </w:tr>
      <w:tr>
        <w:trPr>
          <w:trHeight w:val="16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Reserves after NPR capping</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1,156</w:t>
            </w:r>
          </w:p>
        </w:tc>
        <w:tc>
          <w:tcPr>
            <w:tcW w:w="2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Term with return of premium Non-NY Cohort</w:t>
            </w: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1,174</w:t>
            </w:r>
          </w:p>
        </w:tc>
        <w:tc>
          <w:tcPr>
            <w:tcW w:w="280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Term with return of premium Non-NY Cohort</w:t>
            </w:r>
          </w:p>
        </w:tc>
      </w:tr>
      <w:tr>
        <w:trPr>
          <w:trHeight w:val="147"/>
        </w:trPr>
        <w:tc>
          <w:tcPr>
            <w:tcW w:w="3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 Expense</w:t>
            </w:r>
          </w:p>
        </w:tc>
        <w:tc>
          <w:tcPr>
            <w:tcW w:w="200" w:type="dxa"/>
            <w:vAlign w:val="bottom"/>
          </w:tcPr>
          <w:p>
            <w:pPr>
              <w:spacing w:after="0"/>
              <w:rPr>
                <w:sz w:val="12"/>
                <w:szCs w:val="12"/>
                <w:color w:val="auto"/>
              </w:rPr>
            </w:pPr>
          </w:p>
        </w:tc>
        <w:tc>
          <w:tcPr>
            <w:tcW w:w="102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11</w:t>
            </w:r>
          </w:p>
        </w:tc>
        <w:tc>
          <w:tcPr>
            <w:tcW w:w="28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Term with return of premium Non-NY Cohort</w:t>
            </w:r>
          </w:p>
        </w:tc>
        <w:tc>
          <w:tcPr>
            <w:tcW w:w="220" w:type="dxa"/>
            <w:vAlign w:val="bottom"/>
          </w:tcPr>
          <w:p>
            <w:pPr>
              <w:spacing w:after="0"/>
              <w:rPr>
                <w:sz w:val="12"/>
                <w:szCs w:val="12"/>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w:t>
            </w:r>
          </w:p>
        </w:tc>
        <w:tc>
          <w:tcPr>
            <w:tcW w:w="280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rPr>
              <w:t>Term with return of premium Non-NY Cohort</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F&amp;G made changes to assumptions during the years ended December 31, 2025 and 2024. Significant assumption inputs used in the calculation of our FPB are described below. Refer to the tables above for further details on changes to our FPB.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Traditional life</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traditional life line of business primarily consists of policies that were sold prior to 2010. As this line of business continues to age, benefit payments made from these contracts will be the primary driver of the emergence of reserves, decreasing the reserve balance.</w:t>
      </w:r>
    </w:p>
    <w:p>
      <w:pPr>
        <w:spacing w:after="0" w:line="39"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Significant assumption inputs to the calculation of the FPB for traditional life include mortality, lapses (including lapses due to nonpayment of premium and surrenders for cash surrender value), and discount rates (both accretion and current). F&amp;G reviews the cash flow assumptions annually, typically in the third quarter. In 2025, F&amp;G updated the assumptions for surrenders and lapses. Updates to these assumptions brought F&amp;G more in line with internal and overall industry experience since the prior assumption updates. These assumption updates resulted in a decrease to the FPB liability for the year ended December 31, 2025. In 2024, F&amp;G made an adjustment to the calculation to reflect additional actuarial precision, unrelated to the assumptions, driving an increase to the FPB liability.</w:t>
      </w:r>
    </w:p>
    <w:p>
      <w:pPr>
        <w:spacing w:after="0" w:line="58"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Immediate annuities (life contingent)</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Significant assumption inputs to the calculation of the FPB for immediate annuities (life contingent) include mortality and discount rates (both accretion and current). F&amp;G reviews the cash flow assumptions annually, typically in the third quarter. In 2024, F&amp;G undertook a review of the significant cash flow assumptions and did not make any changes to mortality.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PRT (life contingent)</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PRT line of business has issued a significant volume of contracts for 2025 and 2024, which is the primary impact in increasing the reserve balance in each of those periods.</w:t>
      </w:r>
    </w:p>
    <w:p>
      <w:pPr>
        <w:spacing w:after="0" w:line="94"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Significant assumption inputs to the calculation of the FPB for PRT (life contingent) include mortality and discount rates (both accretion and current). Additionally, for PRT contracts with deferred payment streams, retirement age and elected payment form are significant assumptions. F&amp;G reviews the cash flow assumptions annually, typically in the third quarter. In 2024, F&amp;G undertook a review of the significant cash flow assumptions and did not make any changes to any significant assumptions. Market data that underlies current discount rates was updated in 2025 from that utilized in 2024 resulting in decreased discount rates that drove an increase to the FPB. Market data that underlies current discount rates was updated in 2024 from that utilized in 2023 resulting in increased discount rates that drove a decrease to the FPB.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 deficiency testing</w:t>
      </w:r>
    </w:p>
    <w:p>
      <w:pPr>
        <w:spacing w:after="0" w:line="96" w:lineRule="exact"/>
        <w:rPr>
          <w:sz w:val="20"/>
          <w:szCs w:val="20"/>
          <w:color w:val="auto"/>
        </w:rPr>
      </w:pPr>
    </w:p>
    <w:p>
      <w:pPr>
        <w:jc w:val="both"/>
        <w:ind w:firstLine="255"/>
        <w:spacing w:after="0" w:line="259" w:lineRule="auto"/>
        <w:rPr>
          <w:sz w:val="20"/>
          <w:szCs w:val="20"/>
          <w:color w:val="auto"/>
        </w:rPr>
      </w:pPr>
      <w:r>
        <w:rPr>
          <w:rFonts w:ascii="Times New Roman" w:cs="Times New Roman" w:eastAsia="Times New Roman" w:hAnsi="Times New Roman"/>
          <w:sz w:val="14"/>
          <w:szCs w:val="14"/>
          <w:color w:val="auto"/>
        </w:rPr>
        <w:t>F&amp;G conducts annual premium deficiency testing for its long-duration contracts except for the FPB for nonparticipating traditional and limited-payment contracts. F&amp;G also conducts annual premium deficiency testing for the VOBA of all long-duration contracts. Premium deficiency testing is performed by reviewing assumptions used to calculate the insurance liabilities and determining whether the sum of the existing contract liabilities and the present value of future gross premiums is sufficient to cover the present value of future benefits to be paid to or on behalf of policyholders and settlement costs and recover unamortized present value of future profits. Anticipated investment income, based on F&amp;G’s experience, is considered when performing premium deficiency testing for long-duration contracts. During 2024, F&amp;G did not pass premium deficiency testing for the traditional life block of business, related to the recoverability of VOBA. Due to that result, F&amp;G began accruing a liability in the fourth quarter of 2024 that increases the amortization of traditional life VOBA. The liability balance was immaterial at December 31,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None.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96" w:lineRule="exact"/>
        <w:rPr>
          <w:sz w:val="20"/>
          <w:szCs w:val="20"/>
          <w:color w:val="auto"/>
        </w:rPr>
      </w:pPr>
    </w:p>
    <w:p>
      <w:pPr>
        <w:jc w:val="both"/>
        <w:ind w:firstLine="255"/>
        <w:spacing w:after="0" w:line="261" w:lineRule="auto"/>
        <w:rPr>
          <w:sz w:val="20"/>
          <w:szCs w:val="20"/>
          <w:color w:val="auto"/>
        </w:rPr>
      </w:pPr>
      <w:r>
        <w:rPr>
          <w:rFonts w:ascii="Times New Roman" w:cs="Times New Roman" w:eastAsia="Times New Roman" w:hAnsi="Times New Roman"/>
          <w:sz w:val="14"/>
          <w:szCs w:val="14"/>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Exchange Act. Based on this evaluation, our principal executive officer and principal financial officer concluded that our disclosure controls and procedures are effective to ensure that information required to be disclosed by us in the reports that we file or submit under the Exchange Act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58"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Notwithstanding the foregoing, there can be no assurance that the Company’s disclosure controls and procedures will detect or uncover all failures of persons within the Company to disclose material information otherwise required to be set forth in the Company’s periodic reports.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not absolute, assurance of achieving their control objectives.</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the year ended December 31, 2025, that have materially affected, or are reasonably likely to materially affect, our internal control over financial reporting.</w:t>
      </w:r>
    </w:p>
    <w:p>
      <w:pPr>
        <w:spacing w:after="0" w:line="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Management is responsible for establishing and maintaining adequate internal control over financial reporting, as such term is defined in Exchange Act Rules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Internal Control - Integrated Framework (2013) issued by the Committee of Sponsoring Organizations of the Treadway Commission (COSO). Based on our evaluation under this framework, our management concluded that our internal control over financial reporting was effective as of December 31, 2025.</w:t>
      </w:r>
    </w:p>
    <w:p>
      <w:pPr>
        <w:spacing w:after="0" w:line="5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as of December 31, 2025, has been audited by Ernst &amp; Young LLP, an independent registered public accounting firm, as stated in their report, which is included herein.</w:t>
      </w:r>
    </w:p>
    <w:p>
      <w:pPr>
        <w:spacing w:after="0" w:line="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LIMITATIONS ON THE EFFECTIVENESS OF CONTROLS</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tab/>
        <w:t>Other Information</w:t>
      </w:r>
    </w:p>
    <w:p>
      <w:pPr>
        <w:spacing w:after="0" w:line="96"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2025, no director or officer of the Company adopted or terminated a "Rule 10b5-1 trading arrangement" or "non-Rule 10b5-1 trading arrangement," as each term is defined in Item 408(a) of Regulation S-K.</w:t>
      </w:r>
    </w:p>
    <w:p>
      <w:pPr>
        <w:spacing w:after="0" w:line="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tab/>
        <w:t>Disclosure Regarding Foreign Jurisdictions that Prevent Inspections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Codes of Ethics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board of directors has adopted a Code of Ethics for Senior Financial Officers, which is applicable to our Chief Executive Officer, our Chief Financial Officer and our Chief Accounting Officer, and a Code of Business Conduct and Ethics, which is applicable to all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are designed to maintain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our website at www.investor.fnf.com.</w:t>
      </w:r>
    </w:p>
    <w:p>
      <w:pPr>
        <w:spacing w:after="0" w:line="64" w:lineRule="exact"/>
        <w:rPr>
          <w:sz w:val="20"/>
          <w:szCs w:val="20"/>
          <w:color w:val="auto"/>
        </w:rPr>
      </w:pPr>
    </w:p>
    <w:p>
      <w:pPr>
        <w:ind w:right="1380" w:firstLine="255"/>
        <w:spacing w:after="0" w:line="379" w:lineRule="auto"/>
        <w:rPr>
          <w:sz w:val="20"/>
          <w:szCs w:val="20"/>
          <w:color w:val="auto"/>
        </w:rPr>
      </w:pPr>
      <w:r>
        <w:rPr>
          <w:rFonts w:ascii="Times New Roman" w:cs="Times New Roman" w:eastAsia="Times New Roman" w:hAnsi="Times New Roman"/>
          <w:sz w:val="14"/>
          <w:szCs w:val="14"/>
          <w:color w:val="auto"/>
        </w:rPr>
        <w:t xml:space="preserve">Copies of our Code of Business Conduct and Ethics and our Code of Ethics for Senior Financial Officers are available for review on our website at www.investor.fnf.com. </w:t>
      </w:r>
      <w:r>
        <w:rPr>
          <w:rFonts w:ascii="Times New Roman" w:cs="Times New Roman" w:eastAsia="Times New Roman" w:hAnsi="Times New Roman"/>
          <w:sz w:val="14"/>
          <w:szCs w:val="14"/>
          <w:b w:val="1"/>
          <w:bCs w:val="1"/>
          <w:i w:val="1"/>
          <w:iCs w:val="1"/>
          <w:color w:val="auto"/>
        </w:rPr>
        <w:t>Policy Prohibiting Insider Trading and Related Procedures</w:t>
      </w:r>
    </w:p>
    <w:p>
      <w:pPr>
        <w:spacing w:after="0" w:line="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We have adopted an Insider Trading and Tipping Policy prohibiting insider trading and provides related procedures governing the purchase, sale, and other dispositions of the registrant's securities. This policy also prohibits tipping or disclosing material nonpublic information ("MNPI") to outsiders. This policy is applicable to all directors, officers, employees, their immediate family, and any entities controlled by them who have regular access to MNPI. A copy of the insider trading policy is filed as an exhibit to this Annual Report.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Items 10-14.</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Within 120 days after the close of our fiscal year, we intend to file with the Securities and Exchange Commission the remaining matters required by these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61"/>
        </w:trPr>
        <w:tc>
          <w:tcPr>
            <w:tcW w:w="110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0" w:type="dxa"/>
            <w:vAlign w:val="bottom"/>
          </w:tcPr>
          <w:p>
            <w:pPr>
              <w:spacing w:after="0"/>
              <w:rPr>
                <w:sz w:val="13"/>
                <w:szCs w:val="13"/>
                <w:color w:val="auto"/>
              </w:rPr>
            </w:pPr>
          </w:p>
        </w:tc>
      </w:tr>
      <w:tr>
        <w:trPr>
          <w:trHeight w:val="712"/>
        </w:trPr>
        <w:tc>
          <w:tcPr>
            <w:tcW w:w="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140" w:type="dxa"/>
            <w:vAlign w:val="bottom"/>
          </w:tcPr>
          <w:p>
            <w:pPr>
              <w:spacing w:after="0"/>
              <w:rPr>
                <w:sz w:val="24"/>
                <w:szCs w:val="24"/>
                <w:color w:val="auto"/>
              </w:rPr>
            </w:pPr>
          </w:p>
        </w:tc>
      </w:tr>
      <w:tr>
        <w:trPr>
          <w:trHeight w:val="361"/>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10440" w:type="dxa"/>
            <w:vAlign w:val="bottom"/>
            <w:gridSpan w:val="13"/>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Exhibits and Financial Statement Schedules</w:t>
            </w:r>
          </w:p>
        </w:tc>
        <w:tc>
          <w:tcPr>
            <w:tcW w:w="14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11060" w:type="dxa"/>
            <w:vAlign w:val="bottom"/>
            <w:gridSpan w:val="14"/>
          </w:tcPr>
          <w:p>
            <w:pPr>
              <w:ind w:left="240"/>
              <w:spacing w:after="0"/>
              <w:rPr>
                <w:sz w:val="20"/>
                <w:szCs w:val="20"/>
                <w:color w:val="auto"/>
              </w:rPr>
            </w:pPr>
            <w:r>
              <w:rPr>
                <w:rFonts w:ascii="Times New Roman" w:cs="Times New Roman" w:eastAsia="Times New Roman" w:hAnsi="Times New Roman"/>
                <w:sz w:val="14"/>
                <w:szCs w:val="14"/>
                <w:color w:val="auto"/>
              </w:rPr>
              <w:t xml:space="preserve">(a) (1) </w:t>
            </w:r>
            <w:r>
              <w:rPr>
                <w:rFonts w:ascii="Times New Roman" w:cs="Times New Roman" w:eastAsia="Times New Roman" w:hAnsi="Times New Roman"/>
                <w:sz w:val="14"/>
                <w:szCs w:val="14"/>
                <w:i w:val="1"/>
                <w:iCs w:val="1"/>
                <w:color w:val="auto"/>
              </w:rPr>
              <w:t>Financial Statements.</w:t>
            </w:r>
            <w:r>
              <w:rPr>
                <w:rFonts w:ascii="Times New Roman" w:cs="Times New Roman" w:eastAsia="Times New Roman" w:hAnsi="Times New Roman"/>
                <w:sz w:val="14"/>
                <w:szCs w:val="14"/>
                <w:color w:val="auto"/>
              </w:rPr>
              <w:t xml:space="preserve"> The following is a list of the Consolidated Financial Statements of Fidelity National Financial, Inc. and its subsidiaries included in Item 8 of Part II:</w:t>
            </w:r>
          </w:p>
        </w:tc>
        <w:tc>
          <w:tcPr>
            <w:tcW w:w="14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1106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on Effectiveness of Internal Control over Financial Reporting</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0000FF"/>
                <w:w w:val="85"/>
              </w:rPr>
              <w:t>98</w:t>
            </w:r>
          </w:p>
        </w:tc>
      </w:tr>
      <w:tr>
        <w:trPr>
          <w:trHeight w:val="160"/>
        </w:trPr>
        <w:tc>
          <w:tcPr>
            <w:tcW w:w="20" w:type="dxa"/>
            <w:vAlign w:val="bottom"/>
          </w:tcPr>
          <w:p>
            <w:pPr>
              <w:spacing w:after="0"/>
              <w:rPr>
                <w:sz w:val="13"/>
                <w:szCs w:val="13"/>
                <w:color w:val="auto"/>
              </w:rPr>
            </w:pPr>
          </w:p>
        </w:tc>
        <w:tc>
          <w:tcPr>
            <w:tcW w:w="682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4"/>
                <w:szCs w:val="14"/>
                <w:color w:val="0E32E1"/>
              </w:rPr>
              <w:t>Report of Independent Registered Public Accounting Firm on Financial Statements</w:t>
            </w:r>
          </w:p>
        </w:tc>
        <w:tc>
          <w:tcPr>
            <w:tcW w:w="4240" w:type="dxa"/>
            <w:vAlign w:val="bottom"/>
          </w:tcPr>
          <w:p>
            <w:pPr>
              <w:spacing w:after="0"/>
              <w:rPr>
                <w:sz w:val="13"/>
                <w:szCs w:val="13"/>
                <w:color w:val="auto"/>
              </w:rPr>
            </w:pPr>
          </w:p>
        </w:tc>
        <w:tc>
          <w:tcPr>
            <w:tcW w:w="1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99</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4"/>
                <w:szCs w:val="14"/>
                <w:color w:val="0E32E1"/>
              </w:rPr>
              <w:t>Consolidated Balance Sheets as of December 31, 2025 and 2024</w:t>
            </w:r>
          </w:p>
        </w:tc>
        <w:tc>
          <w:tcPr>
            <w:tcW w:w="1040" w:type="dxa"/>
            <w:vAlign w:val="bottom"/>
          </w:tcPr>
          <w:p>
            <w:pPr>
              <w:spacing w:after="0"/>
              <w:rPr>
                <w:sz w:val="13"/>
                <w:szCs w:val="13"/>
                <w:color w:val="auto"/>
              </w:rPr>
            </w:pPr>
          </w:p>
        </w:tc>
        <w:tc>
          <w:tcPr>
            <w:tcW w:w="6360" w:type="dxa"/>
            <w:vAlign w:val="bottom"/>
            <w:gridSpan w:val="7"/>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1"/>
                <w:szCs w:val="11"/>
                <w:color w:val="0000FF"/>
                <w:w w:val="72"/>
              </w:rPr>
              <w:t>101</w:t>
            </w:r>
          </w:p>
        </w:tc>
      </w:tr>
      <w:tr>
        <w:trPr>
          <w:trHeight w:val="160"/>
        </w:trPr>
        <w:tc>
          <w:tcPr>
            <w:tcW w:w="20" w:type="dxa"/>
            <w:vAlign w:val="bottom"/>
          </w:tcPr>
          <w:p>
            <w:pPr>
              <w:spacing w:after="0"/>
              <w:rPr>
                <w:sz w:val="13"/>
                <w:szCs w:val="13"/>
                <w:color w:val="auto"/>
              </w:rPr>
            </w:pPr>
          </w:p>
        </w:tc>
        <w:tc>
          <w:tcPr>
            <w:tcW w:w="1106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Earnings for the years ended December 31, 2025, 2024 and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0E32E1"/>
                <w:w w:val="72"/>
              </w:rPr>
              <w:t>102</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E32E1"/>
          </w:tcPr>
          <w:p>
            <w:pPr>
              <w:spacing w:after="0" w:line="20" w:lineRule="exact"/>
              <w:rPr>
                <w:sz w:val="1"/>
                <w:szCs w:val="1"/>
                <w:color w:val="auto"/>
              </w:rPr>
            </w:pPr>
          </w:p>
        </w:tc>
        <w:tc>
          <w:tcPr>
            <w:tcW w:w="360" w:type="dxa"/>
            <w:vAlign w:val="bottom"/>
            <w:shd w:val="clear" w:color="auto" w:fill="0E32E1"/>
          </w:tcPr>
          <w:p>
            <w:pPr>
              <w:spacing w:after="0" w:line="20" w:lineRule="exact"/>
              <w:rPr>
                <w:sz w:val="1"/>
                <w:szCs w:val="1"/>
                <w:color w:val="auto"/>
              </w:rPr>
            </w:pPr>
          </w:p>
        </w:tc>
        <w:tc>
          <w:tcPr>
            <w:tcW w:w="800" w:type="dxa"/>
            <w:vAlign w:val="bottom"/>
            <w:shd w:val="clear" w:color="auto" w:fill="0E32E1"/>
          </w:tcPr>
          <w:p>
            <w:pPr>
              <w:spacing w:after="0" w:line="20" w:lineRule="exact"/>
              <w:rPr>
                <w:sz w:val="1"/>
                <w:szCs w:val="1"/>
                <w:color w:val="auto"/>
              </w:rPr>
            </w:pPr>
          </w:p>
        </w:tc>
        <w:tc>
          <w:tcPr>
            <w:tcW w:w="700" w:type="dxa"/>
            <w:vAlign w:val="bottom"/>
            <w:shd w:val="clear" w:color="auto" w:fill="0E32E1"/>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420" w:type="dxa"/>
            <w:vAlign w:val="bottom"/>
            <w:shd w:val="clear" w:color="auto" w:fill="0E32E1"/>
          </w:tcPr>
          <w:p>
            <w:pPr>
              <w:spacing w:after="0" w:line="20" w:lineRule="exact"/>
              <w:rPr>
                <w:sz w:val="1"/>
                <w:szCs w:val="1"/>
                <w:color w:val="auto"/>
              </w:rPr>
            </w:pPr>
          </w:p>
        </w:tc>
        <w:tc>
          <w:tcPr>
            <w:tcW w:w="104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40" w:type="dxa"/>
            <w:vAlign w:val="bottom"/>
            <w:tcBorders>
              <w:right w:val="single" w:sz="8" w:color="0E32E1"/>
            </w:tcBorders>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06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Comprehensive Earnings for the years ended December 31, 2025, 2024 and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0E32E1"/>
                <w:w w:val="72"/>
              </w:rPr>
              <w:t>103</w:t>
            </w:r>
          </w:p>
        </w:tc>
      </w:tr>
      <w:tr>
        <w:trPr>
          <w:trHeight w:val="160"/>
        </w:trPr>
        <w:tc>
          <w:tcPr>
            <w:tcW w:w="20" w:type="dxa"/>
            <w:vAlign w:val="bottom"/>
          </w:tcPr>
          <w:p>
            <w:pPr>
              <w:spacing w:after="0"/>
              <w:rPr>
                <w:sz w:val="13"/>
                <w:szCs w:val="13"/>
                <w:color w:val="auto"/>
              </w:rPr>
            </w:pPr>
          </w:p>
        </w:tc>
        <w:tc>
          <w:tcPr>
            <w:tcW w:w="514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4"/>
                <w:szCs w:val="14"/>
                <w:color w:val="0E32E1"/>
              </w:rPr>
              <w:t>Consolidated Statements of Equity for the years ended December 31, 2025, 2024 and 2023</w:t>
            </w:r>
          </w:p>
        </w:tc>
        <w:tc>
          <w:tcPr>
            <w:tcW w:w="1040" w:type="dxa"/>
            <w:vAlign w:val="bottom"/>
            <w:tcBorders>
              <w:top w:val="single" w:sz="8" w:color="0E32E1"/>
            </w:tcBorders>
            <w:gridSpan w:val="3"/>
          </w:tcPr>
          <w:p>
            <w:pPr>
              <w:spacing w:after="0"/>
              <w:rPr>
                <w:sz w:val="13"/>
                <w:szCs w:val="13"/>
                <w:color w:val="auto"/>
              </w:rPr>
            </w:pPr>
          </w:p>
        </w:tc>
        <w:tc>
          <w:tcPr>
            <w:tcW w:w="4880" w:type="dxa"/>
            <w:vAlign w:val="bottom"/>
            <w:gridSpan w:val="2"/>
          </w:tcPr>
          <w:p>
            <w:pPr>
              <w:spacing w:after="0"/>
              <w:rPr>
                <w:sz w:val="13"/>
                <w:szCs w:val="13"/>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1"/>
                <w:szCs w:val="11"/>
                <w:color w:val="0E32E1"/>
                <w:w w:val="72"/>
              </w:rPr>
              <w:t>104</w:t>
            </w:r>
          </w:p>
        </w:tc>
      </w:tr>
      <w:tr>
        <w:trPr>
          <w:trHeight w:val="160"/>
        </w:trPr>
        <w:tc>
          <w:tcPr>
            <w:tcW w:w="20" w:type="dxa"/>
            <w:vAlign w:val="bottom"/>
          </w:tcPr>
          <w:p>
            <w:pPr>
              <w:spacing w:after="0"/>
              <w:rPr>
                <w:sz w:val="13"/>
                <w:szCs w:val="13"/>
                <w:color w:val="auto"/>
              </w:rPr>
            </w:pPr>
          </w:p>
        </w:tc>
        <w:tc>
          <w:tcPr>
            <w:tcW w:w="11060" w:type="dxa"/>
            <w:vAlign w:val="bottom"/>
            <w:gridSpan w:val="14"/>
          </w:tcPr>
          <w:p>
            <w:pPr>
              <w:spacing w:after="0"/>
              <w:rPr>
                <w:sz w:val="20"/>
                <w:szCs w:val="20"/>
                <w:color w:val="auto"/>
              </w:rPr>
            </w:pPr>
            <w:r>
              <w:rPr>
                <w:rFonts w:ascii="Times New Roman" w:cs="Times New Roman" w:eastAsia="Times New Roman" w:hAnsi="Times New Roman"/>
                <w:sz w:val="14"/>
                <w:szCs w:val="14"/>
                <w:color w:val="0E32E1"/>
              </w:rPr>
              <w:t>Consolidated Statements of Cash Flows for the years ended December 31, 2025, 2024 and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0E32E1"/>
                <w:w w:val="72"/>
              </w:rPr>
              <w:t>107</w:t>
            </w:r>
          </w:p>
        </w:tc>
      </w:tr>
      <w:tr>
        <w:trPr>
          <w:trHeight w:val="160"/>
        </w:trPr>
        <w:tc>
          <w:tcPr>
            <w:tcW w:w="20" w:type="dxa"/>
            <w:vAlign w:val="bottom"/>
          </w:tcPr>
          <w:p>
            <w:pPr>
              <w:spacing w:after="0"/>
              <w:rPr>
                <w:sz w:val="13"/>
                <w:szCs w:val="13"/>
                <w:color w:val="auto"/>
              </w:rPr>
            </w:pPr>
          </w:p>
        </w:tc>
        <w:tc>
          <w:tcPr>
            <w:tcW w:w="2480" w:type="dxa"/>
            <w:vAlign w:val="bottom"/>
            <w:tcBorders>
              <w:top w:val="single" w:sz="8" w:color="0E32E1"/>
              <w:bottom w:val="single" w:sz="8" w:color="0E32E1"/>
            </w:tcBorders>
            <w:gridSpan w:val="4"/>
          </w:tcPr>
          <w:p>
            <w:pPr>
              <w:spacing w:after="0"/>
              <w:rPr>
                <w:sz w:val="20"/>
                <w:szCs w:val="20"/>
                <w:color w:val="auto"/>
              </w:rPr>
            </w:pPr>
            <w:r>
              <w:rPr>
                <w:rFonts w:ascii="Times New Roman" w:cs="Times New Roman" w:eastAsia="Times New Roman" w:hAnsi="Times New Roman"/>
                <w:sz w:val="14"/>
                <w:szCs w:val="14"/>
                <w:color w:val="0E32E1"/>
              </w:rPr>
              <w:t>Notes to Consolidated Financial Statements</w:t>
            </w:r>
          </w:p>
        </w:tc>
        <w:tc>
          <w:tcPr>
            <w:tcW w:w="2940" w:type="dxa"/>
            <w:vAlign w:val="bottom"/>
            <w:tcBorders>
              <w:top w:val="single" w:sz="8" w:color="0E32E1"/>
            </w:tcBorders>
            <w:gridSpan w:val="7"/>
          </w:tcPr>
          <w:p>
            <w:pPr>
              <w:spacing w:after="0"/>
              <w:rPr>
                <w:sz w:val="13"/>
                <w:szCs w:val="13"/>
                <w:color w:val="auto"/>
              </w:rPr>
            </w:pPr>
          </w:p>
        </w:tc>
        <w:tc>
          <w:tcPr>
            <w:tcW w:w="5640" w:type="dxa"/>
            <w:vAlign w:val="bottom"/>
            <w:gridSpan w:val="3"/>
          </w:tcPr>
          <w:p>
            <w:pPr>
              <w:spacing w:after="0"/>
              <w:rPr>
                <w:sz w:val="13"/>
                <w:szCs w:val="13"/>
                <w:color w:val="auto"/>
              </w:rPr>
            </w:pPr>
          </w:p>
        </w:tc>
        <w:tc>
          <w:tcPr>
            <w:tcW w:w="140" w:type="dxa"/>
            <w:vAlign w:val="bottom"/>
            <w:tcBorders>
              <w:top w:val="single" w:sz="8" w:color="0E32E1"/>
              <w:bottom w:val="single" w:sz="8" w:color="0E32E1"/>
            </w:tcBorders>
          </w:tcPr>
          <w:p>
            <w:pPr>
              <w:jc w:val="right"/>
              <w:spacing w:after="0"/>
              <w:rPr>
                <w:sz w:val="20"/>
                <w:szCs w:val="20"/>
                <w:color w:val="auto"/>
              </w:rPr>
            </w:pPr>
            <w:r>
              <w:rPr>
                <w:rFonts w:ascii="Times New Roman" w:cs="Times New Roman" w:eastAsia="Times New Roman" w:hAnsi="Times New Roman"/>
                <w:sz w:val="11"/>
                <w:szCs w:val="11"/>
                <w:color w:val="0E32E1"/>
                <w:w w:val="72"/>
              </w:rPr>
              <w:t>109</w:t>
            </w:r>
          </w:p>
        </w:tc>
      </w:tr>
      <w:tr>
        <w:trPr>
          <w:trHeight w:val="266"/>
        </w:trPr>
        <w:tc>
          <w:tcPr>
            <w:tcW w:w="20" w:type="dxa"/>
            <w:vAlign w:val="bottom"/>
          </w:tcPr>
          <w:p>
            <w:pPr>
              <w:spacing w:after="0"/>
              <w:rPr>
                <w:sz w:val="23"/>
                <w:szCs w:val="23"/>
                <w:color w:val="auto"/>
              </w:rPr>
            </w:pPr>
          </w:p>
        </w:tc>
        <w:tc>
          <w:tcPr>
            <w:tcW w:w="11060" w:type="dxa"/>
            <w:vAlign w:val="bottom"/>
            <w:gridSpan w:val="14"/>
          </w:tcPr>
          <w:p>
            <w:pPr>
              <w:ind w:left="240"/>
              <w:spacing w:after="0"/>
              <w:rPr>
                <w:sz w:val="20"/>
                <w:szCs w:val="20"/>
                <w:color w:val="auto"/>
              </w:rPr>
            </w:pPr>
            <w:r>
              <w:rPr>
                <w:rFonts w:ascii="Times New Roman" w:cs="Times New Roman" w:eastAsia="Times New Roman" w:hAnsi="Times New Roman"/>
                <w:sz w:val="14"/>
                <w:szCs w:val="14"/>
                <w:color w:val="auto"/>
              </w:rPr>
              <w:t xml:space="preserve">(a) (2) </w:t>
            </w:r>
            <w:r>
              <w:rPr>
                <w:rFonts w:ascii="Times New Roman" w:cs="Times New Roman" w:eastAsia="Times New Roman" w:hAnsi="Times New Roman"/>
                <w:sz w:val="14"/>
                <w:szCs w:val="14"/>
                <w:i w:val="1"/>
                <w:iCs w:val="1"/>
                <w:color w:val="auto"/>
              </w:rPr>
              <w:t>Financial Statement Schedules.</w:t>
            </w:r>
            <w:r>
              <w:rPr>
                <w:rFonts w:ascii="Times New Roman" w:cs="Times New Roman" w:eastAsia="Times New Roman" w:hAnsi="Times New Roman"/>
                <w:sz w:val="14"/>
                <w:szCs w:val="14"/>
                <w:color w:val="auto"/>
              </w:rPr>
              <w:t xml:space="preserve">  The following is a list of financial statement schedules filed as part of this annual report on Form 10-K:</w:t>
            </w:r>
          </w:p>
        </w:tc>
        <w:tc>
          <w:tcPr>
            <w:tcW w:w="140" w:type="dxa"/>
            <w:vAlign w:val="bottom"/>
          </w:tcPr>
          <w:p>
            <w:pPr>
              <w:spacing w:after="0"/>
              <w:rPr>
                <w:sz w:val="23"/>
                <w:szCs w:val="23"/>
                <w:color w:val="auto"/>
              </w:rPr>
            </w:pPr>
          </w:p>
        </w:tc>
      </w:tr>
      <w:tr>
        <w:trPr>
          <w:trHeight w:val="244"/>
        </w:trPr>
        <w:tc>
          <w:tcPr>
            <w:tcW w:w="20" w:type="dxa"/>
            <w:vAlign w:val="bottom"/>
          </w:tcPr>
          <w:p>
            <w:pPr>
              <w:spacing w:after="0"/>
              <w:rPr>
                <w:sz w:val="21"/>
                <w:szCs w:val="21"/>
                <w:color w:val="auto"/>
              </w:rPr>
            </w:pPr>
          </w:p>
        </w:tc>
        <w:tc>
          <w:tcPr>
            <w:tcW w:w="11060" w:type="dxa"/>
            <w:vAlign w:val="bottom"/>
            <w:gridSpan w:val="14"/>
          </w:tcPr>
          <w:p>
            <w:pPr>
              <w:spacing w:after="0"/>
              <w:rPr>
                <w:sz w:val="20"/>
                <w:szCs w:val="20"/>
                <w:color w:val="auto"/>
              </w:rPr>
            </w:pPr>
            <w:r>
              <w:rPr>
                <w:rFonts w:ascii="Times New Roman" w:cs="Times New Roman" w:eastAsia="Times New Roman" w:hAnsi="Times New Roman"/>
                <w:sz w:val="14"/>
                <w:szCs w:val="14"/>
                <w:i w:val="1"/>
                <w:iCs w:val="1"/>
                <w:color w:val="0000FF"/>
              </w:rPr>
              <w:t xml:space="preserve">Schedule II: </w:t>
            </w:r>
            <w:r>
              <w:rPr>
                <w:rFonts w:ascii="Times New Roman" w:cs="Times New Roman" w:eastAsia="Times New Roman" w:hAnsi="Times New Roman"/>
                <w:sz w:val="14"/>
                <w:szCs w:val="14"/>
                <w:color w:val="0000FF"/>
              </w:rPr>
              <w:t>Fidelity National Financial, Inc. (Parent Company Financial Statements)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3051F2"/>
                <w:w w:val="72"/>
              </w:rPr>
              <w:t>201</w:t>
            </w:r>
          </w:p>
        </w:tc>
      </w:tr>
      <w:tr>
        <w:trPr>
          <w:trHeight w:val="160"/>
        </w:trPr>
        <w:tc>
          <w:tcPr>
            <w:tcW w:w="20" w:type="dxa"/>
            <w:vAlign w:val="bottom"/>
          </w:tcPr>
          <w:p>
            <w:pPr>
              <w:spacing w:after="0"/>
              <w:rPr>
                <w:sz w:val="13"/>
                <w:szCs w:val="13"/>
                <w:color w:val="auto"/>
              </w:rPr>
            </w:pPr>
          </w:p>
        </w:tc>
        <w:tc>
          <w:tcPr>
            <w:tcW w:w="4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i w:val="1"/>
                <w:iCs w:val="1"/>
                <w:color w:val="0000FF"/>
              </w:rPr>
              <w:t xml:space="preserve">Schedule III: </w:t>
            </w:r>
            <w:r>
              <w:rPr>
                <w:rFonts w:ascii="Times New Roman" w:cs="Times New Roman" w:eastAsia="Times New Roman" w:hAnsi="Times New Roman"/>
                <w:sz w:val="14"/>
                <w:szCs w:val="14"/>
                <w:color w:val="0000FF"/>
              </w:rPr>
              <w:t>F&amp;G Supplementary Insurance Information</w:t>
            </w:r>
          </w:p>
        </w:tc>
        <w:tc>
          <w:tcPr>
            <w:tcW w:w="6240" w:type="dxa"/>
            <w:vAlign w:val="bottom"/>
            <w:gridSpan w:val="6"/>
          </w:tcPr>
          <w:p>
            <w:pPr>
              <w:spacing w:after="0"/>
              <w:rPr>
                <w:sz w:val="13"/>
                <w:szCs w:val="13"/>
                <w:color w:val="auto"/>
              </w:rPr>
            </w:pPr>
          </w:p>
        </w:tc>
        <w:tc>
          <w:tcPr>
            <w:tcW w:w="140" w:type="dxa"/>
            <w:vAlign w:val="bottom"/>
            <w:tcBorders>
              <w:top w:val="single" w:sz="8" w:color="3051F2"/>
            </w:tcBorders>
          </w:tcPr>
          <w:p>
            <w:pPr>
              <w:jc w:val="right"/>
              <w:spacing w:after="0"/>
              <w:rPr>
                <w:sz w:val="20"/>
                <w:szCs w:val="20"/>
                <w:color w:val="auto"/>
              </w:rPr>
            </w:pPr>
            <w:r>
              <w:rPr>
                <w:rFonts w:ascii="Times New Roman" w:cs="Times New Roman" w:eastAsia="Times New Roman" w:hAnsi="Times New Roman"/>
                <w:sz w:val="11"/>
                <w:szCs w:val="11"/>
                <w:color w:val="3051F2"/>
                <w:w w:val="72"/>
              </w:rPr>
              <w:t>205</w:t>
            </w:r>
          </w:p>
        </w:tc>
      </w:tr>
      <w:tr>
        <w:trPr>
          <w:trHeight w:val="160"/>
        </w:trPr>
        <w:tc>
          <w:tcPr>
            <w:tcW w:w="20" w:type="dxa"/>
            <w:vAlign w:val="bottom"/>
          </w:tcPr>
          <w:p>
            <w:pPr>
              <w:spacing w:after="0"/>
              <w:rPr>
                <w:sz w:val="13"/>
                <w:szCs w:val="13"/>
                <w:color w:val="auto"/>
              </w:rPr>
            </w:pPr>
          </w:p>
        </w:tc>
        <w:tc>
          <w:tcPr>
            <w:tcW w:w="17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i w:val="1"/>
                <w:iCs w:val="1"/>
                <w:color w:val="0000FF"/>
                <w:w w:val="99"/>
              </w:rPr>
              <w:t xml:space="preserve">Schedule IV: </w:t>
            </w:r>
            <w:r>
              <w:rPr>
                <w:rFonts w:ascii="Times New Roman" w:cs="Times New Roman" w:eastAsia="Times New Roman" w:hAnsi="Times New Roman"/>
                <w:sz w:val="14"/>
                <w:szCs w:val="14"/>
                <w:color w:val="0000FF"/>
                <w:w w:val="99"/>
              </w:rPr>
              <w:t>F&amp;G Reinsurance</w:t>
            </w:r>
          </w:p>
        </w:tc>
        <w:tc>
          <w:tcPr>
            <w:tcW w:w="1460" w:type="dxa"/>
            <w:vAlign w:val="bottom"/>
            <w:tcBorders>
              <w:top w:val="single" w:sz="8" w:color="0000FF"/>
            </w:tcBorders>
            <w:gridSpan w:val="2"/>
          </w:tcPr>
          <w:p>
            <w:pPr>
              <w:spacing w:after="0"/>
              <w:rPr>
                <w:sz w:val="13"/>
                <w:szCs w:val="13"/>
                <w:color w:val="auto"/>
              </w:rPr>
            </w:pPr>
          </w:p>
        </w:tc>
        <w:tc>
          <w:tcPr>
            <w:tcW w:w="7820" w:type="dxa"/>
            <w:vAlign w:val="bottom"/>
            <w:gridSpan w:val="9"/>
          </w:tcPr>
          <w:p>
            <w:pPr>
              <w:spacing w:after="0"/>
              <w:rPr>
                <w:sz w:val="13"/>
                <w:szCs w:val="13"/>
                <w:color w:val="auto"/>
              </w:rPr>
            </w:pPr>
          </w:p>
        </w:tc>
        <w:tc>
          <w:tcPr>
            <w:tcW w:w="140" w:type="dxa"/>
            <w:vAlign w:val="bottom"/>
            <w:tcBorders>
              <w:top w:val="single" w:sz="8" w:color="3051F2"/>
              <w:bottom w:val="single" w:sz="8" w:color="3051F2"/>
            </w:tcBorders>
          </w:tcPr>
          <w:p>
            <w:pPr>
              <w:jc w:val="right"/>
              <w:spacing w:after="0"/>
              <w:rPr>
                <w:sz w:val="20"/>
                <w:szCs w:val="20"/>
                <w:color w:val="auto"/>
              </w:rPr>
            </w:pPr>
            <w:r>
              <w:rPr>
                <w:rFonts w:ascii="Times New Roman" w:cs="Times New Roman" w:eastAsia="Times New Roman" w:hAnsi="Times New Roman"/>
                <w:sz w:val="11"/>
                <w:szCs w:val="11"/>
                <w:color w:val="3051F2"/>
                <w:w w:val="72"/>
              </w:rPr>
              <w:t>206</w:t>
            </w:r>
          </w:p>
        </w:tc>
      </w:tr>
    </w:tbl>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other schedules are omitted because they are not applicable or not required,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16" w:right="3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(3) The following exhibits are incorporated by reference or are set forth on pages to this Form 10-K:</w:t>
      </w:r>
    </w:p>
    <w:p>
      <w:pPr>
        <w:spacing w:after="0" w:line="99" w:lineRule="exact"/>
        <w:rPr>
          <w:sz w:val="20"/>
          <w:szCs w:val="20"/>
          <w:color w:val="auto"/>
        </w:rPr>
      </w:pPr>
    </w:p>
    <w:tbl>
      <w:tblPr>
        <w:tblLayout w:type="fixed"/>
        <w:tblInd w:w="140" w:type="dxa"/>
        <w:tblCellMar>
          <w:top w:w="0" w:type="dxa"/>
          <w:left w:w="0" w:type="dxa"/>
          <w:bottom w:w="0" w:type="dxa"/>
          <w:right w:w="0" w:type="dxa"/>
        </w:tblCellMar>
      </w:tblPr>
      <w:tr>
        <w:trPr>
          <w:trHeight w:val="126"/>
        </w:trPr>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4"/>
            <w:vMerge w:val="restart"/>
          </w:tcPr>
          <w:p>
            <w:pPr>
              <w:spacing w:after="0"/>
              <w:rPr>
                <w:sz w:val="20"/>
                <w:szCs w:val="20"/>
                <w:color w:val="auto"/>
              </w:rPr>
            </w:pPr>
            <w:r>
              <w:rPr>
                <w:rFonts w:ascii="Times New Roman" w:cs="Times New Roman" w:eastAsia="Times New Roman" w:hAnsi="Times New Roman"/>
                <w:sz w:val="11"/>
                <w:szCs w:val="11"/>
                <w:b w:val="1"/>
                <w:bCs w:val="1"/>
                <w:color w:val="auto"/>
                <w:w w:val="99"/>
              </w:rPr>
              <w:t>Description</w:t>
            </w:r>
          </w:p>
        </w:tc>
        <w:tc>
          <w:tcPr>
            <w:tcW w:w="4480" w:type="dxa"/>
            <w:vAlign w:val="bottom"/>
            <w:gridSpan w:val="2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0" w:type="dxa"/>
            <w:vAlign w:val="bottom"/>
            <w:tcBorders>
              <w:bottom w:val="single" w:sz="8" w:color="auto"/>
            </w:tcBorders>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Number</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gridSpan w:val="4"/>
            <w:vMerge w:val="continue"/>
          </w:tcPr>
          <w:p>
            <w:pPr>
              <w:spacing w:after="0"/>
              <w:rPr>
                <w:sz w:val="10"/>
                <w:szCs w:val="10"/>
                <w:color w:val="auto"/>
              </w:rPr>
            </w:pPr>
          </w:p>
        </w:tc>
        <w:tc>
          <w:tcPr>
            <w:tcW w:w="448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Agreement and Plan of Merger, dated February 7, 2020, by and between FGL Holdings, Fidelity National Financial, Inc., F Corp I and F Corp II. (incorporated</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243">
              <w:r>
                <w:rPr>
                  <w:rFonts w:ascii="Times New Roman" w:cs="Times New Roman" w:eastAsia="Times New Roman" w:hAnsi="Times New Roman"/>
                  <w:sz w:val="13"/>
                  <w:szCs w:val="13"/>
                  <w:color w:val="0000FF"/>
                </w:rPr>
                <w:t>by reference to Exhibit 2.1 to the Registrant's Current Report on Form 8-K filed on February 7, 2020)</w:t>
              </w:r>
            </w:hyperlink>
          </w:p>
        </w:tc>
        <w:tc>
          <w:tcPr>
            <w:tcW w:w="3260" w:type="dxa"/>
            <w:vAlign w:val="bottom"/>
            <w:tcBorders>
              <w:top w:val="single" w:sz="8" w:color="0000FF"/>
            </w:tcBorders>
            <w:gridSpan w:val="9"/>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First Amendment to the Agreement and Plan of Merger, dated as of April 24, 2020, by and between Fidelity National Financial, Inc., F I Corp., F II Corp., and</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4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244">
              <w:r>
                <w:rPr>
                  <w:rFonts w:ascii="Times New Roman" w:cs="Times New Roman" w:eastAsia="Times New Roman" w:hAnsi="Times New Roman"/>
                  <w:sz w:val="13"/>
                  <w:szCs w:val="13"/>
                  <w:color w:val="0000FF"/>
                </w:rPr>
                <w:t>FGL Holdings (incorporated by reference to Exhibit 2.2 to the Registrant’s Registration Statement on Form S-4/A filed on April 24, 2020)</w:t>
              </w:r>
            </w:hyperlink>
          </w:p>
        </w:tc>
        <w:tc>
          <w:tcPr>
            <w:tcW w:w="1140" w:type="dxa"/>
            <w:vAlign w:val="bottom"/>
            <w:tcBorders>
              <w:top w:val="single" w:sz="8" w:color="0000FF"/>
            </w:tcBorders>
            <w:gridSpan w:val="6"/>
          </w:tcPr>
          <w:p>
            <w:pPr>
              <w:spacing w:after="0"/>
              <w:rPr>
                <w:sz w:val="10"/>
                <w:szCs w:val="10"/>
                <w:color w:val="auto"/>
              </w:rPr>
            </w:pPr>
          </w:p>
        </w:tc>
        <w:tc>
          <w:tcPr>
            <w:tcW w:w="1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Separation and Distribution Agreement, dated as of November 30, 2022, between Fidelity National Financial, Inc. and F&amp;G Annuities &amp; Life, Inc. (incorporated</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90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245">
              <w:r>
                <w:rPr>
                  <w:rFonts w:ascii="Times New Roman" w:cs="Times New Roman" w:eastAsia="Times New Roman" w:hAnsi="Times New Roman"/>
                  <w:sz w:val="13"/>
                  <w:szCs w:val="13"/>
                  <w:color w:val="0000FF"/>
                </w:rPr>
                <w:t>by reference to Exhibit 99.1 to the Registrant's Current Report on Form 8-K filed on December 1, 2022)</w:t>
              </w:r>
            </w:hyperlink>
          </w:p>
        </w:tc>
        <w:tc>
          <w:tcPr>
            <w:tcW w:w="32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7"/>
                <w:szCs w:val="17"/>
                <w:color w:val="auto"/>
              </w:rPr>
            </w:pPr>
          </w:p>
        </w:tc>
        <w:tc>
          <w:tcPr>
            <w:tcW w:w="8760" w:type="dxa"/>
            <w:vAlign w:val="bottom"/>
            <w:gridSpan w:val="20"/>
            <w:vMerge w:val="restart"/>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Plan of Conversion (incorporated by reference to Exhibit 2.1 to the Company's Current Report on Form 8-K, filed with the Commission on June 12, 2025)</w:t>
              </w:r>
            </w:hyperlink>
          </w:p>
        </w:tc>
        <w:tc>
          <w:tcPr>
            <w:tcW w:w="580" w:type="dxa"/>
            <w:vAlign w:val="bottom"/>
            <w:gridSpan w:val="16"/>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760" w:type="dxa"/>
            <w:vAlign w:val="bottom"/>
            <w:tcBorders>
              <w:bottom w:val="single" w:sz="8" w:color="0000FF"/>
            </w:tcBorders>
            <w:gridSpan w:val="20"/>
            <w:vMerge w:val="continue"/>
          </w:tcPr>
          <w:p>
            <w:pPr>
              <w:spacing w:after="0"/>
              <w:rPr>
                <w:sz w:val="9"/>
                <w:szCs w:val="9"/>
                <w:color w:val="auto"/>
              </w:rPr>
            </w:pPr>
          </w:p>
        </w:tc>
        <w:tc>
          <w:tcPr>
            <w:tcW w:w="580" w:type="dxa"/>
            <w:vAlign w:val="bottom"/>
            <w:gridSpan w:val="1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17"/>
                <w:szCs w:val="17"/>
                <w:color w:val="auto"/>
              </w:rPr>
            </w:pPr>
          </w:p>
        </w:tc>
        <w:tc>
          <w:tcPr>
            <w:tcW w:w="9340" w:type="dxa"/>
            <w:vAlign w:val="bottom"/>
            <w:gridSpan w:val="36"/>
            <w:vMerge w:val="restart"/>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Articles of Incorporation of Fidelity National Financial, Inc. (incorporated by reference to Exhibit 3.1 to the Company's Current Report on Form 8-K, filed with</w:t>
              </w:r>
            </w:hyperlink>
          </w:p>
        </w:tc>
        <w:tc>
          <w:tcPr>
            <w:tcW w:w="0" w:type="dxa"/>
            <w:vAlign w:val="bottom"/>
          </w:tcPr>
          <w:p>
            <w:pPr>
              <w:spacing w:after="0"/>
              <w:rPr>
                <w:sz w:val="1"/>
                <w:szCs w:val="1"/>
                <w:color w:val="auto"/>
              </w:rPr>
            </w:pPr>
          </w:p>
        </w:tc>
      </w:tr>
      <w:tr>
        <w:trPr>
          <w:trHeight w:val="128"/>
        </w:trPr>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340" w:type="dxa"/>
            <w:vAlign w:val="bottom"/>
            <w:gridSpan w:val="3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20" w:type="dxa"/>
            <w:vAlign w:val="bottom"/>
            <w:tcBorders>
              <w:top w:val="single" w:sz="8" w:color="0000FF"/>
            </w:tcBorders>
            <w:gridSpan w:val="30"/>
          </w:tcPr>
          <w:p>
            <w:pPr>
              <w:spacing w:after="0" w:line="139"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the Commission on June 12, 2025)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15"/>
                <w:szCs w:val="15"/>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Bylaws of Fidelity National Financial, Inc. (incorporated by reference to Exhibit 3.2 to the Company's Current Report on Form 8-K, filed with the Commission</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14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48">
              <w:r>
                <w:rPr>
                  <w:rFonts w:ascii="Times New Roman" w:cs="Times New Roman" w:eastAsia="Times New Roman" w:hAnsi="Times New Roman"/>
                  <w:sz w:val="13"/>
                  <w:szCs w:val="13"/>
                  <w:color w:val="0000FF"/>
                </w:rPr>
                <w:t>on June 12, 2025)</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49">
              <w:r>
                <w:rPr>
                  <w:rFonts w:ascii="Times New Roman" w:cs="Times New Roman" w:eastAsia="Times New Roman" w:hAnsi="Times New Roman"/>
                  <w:sz w:val="14"/>
                  <w:szCs w:val="14"/>
                  <w:color w:val="0000FF"/>
                </w:rPr>
                <w:t>Indenture between the Registrant and The Bank of New York Trust Company, N.A., dated December 8, 2005 (incorporated by reference to Exhibit 4.1 to the</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6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249">
              <w:r>
                <w:rPr>
                  <w:rFonts w:ascii="Times New Roman" w:cs="Times New Roman" w:eastAsia="Times New Roman" w:hAnsi="Times New Roman"/>
                  <w:sz w:val="13"/>
                  <w:szCs w:val="13"/>
                  <w:color w:val="0000FF"/>
                </w:rPr>
                <w:t>Registrant’s Annual Report on Form 10-K for the year ended December 31, 2005)</w:t>
              </w:r>
            </w:hyperlink>
          </w:p>
        </w:tc>
        <w:tc>
          <w:tcPr>
            <w:tcW w:w="4620" w:type="dxa"/>
            <w:vAlign w:val="bottom"/>
            <w:tcBorders>
              <w:top w:val="single" w:sz="8" w:color="0000FF"/>
            </w:tcBorders>
            <w:gridSpan w:val="2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0">
              <w:r>
                <w:rPr>
                  <w:rFonts w:ascii="Times New Roman" w:cs="Times New Roman" w:eastAsia="Times New Roman" w:hAnsi="Times New Roman"/>
                  <w:sz w:val="14"/>
                  <w:szCs w:val="14"/>
                  <w:color w:val="0000FF"/>
                </w:rPr>
                <w:t>First Supplemental Indenture between the Registrant and the Bank of New York Trust Company, N.A., dated as of January 6, 2006 (incorporated by reference to</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6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250">
              <w:r>
                <w:rPr>
                  <w:rFonts w:ascii="Times New Roman" w:cs="Times New Roman" w:eastAsia="Times New Roman" w:hAnsi="Times New Roman"/>
                  <w:sz w:val="13"/>
                  <w:szCs w:val="13"/>
                  <w:color w:val="0000FF"/>
                </w:rPr>
                <w:t>Exhibit 4.1 to the Registrant’s Current Report on Form 8-K filed on January 24, 2006)</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1">
              <w:r>
                <w:rPr>
                  <w:rFonts w:ascii="Times New Roman" w:cs="Times New Roman" w:eastAsia="Times New Roman" w:hAnsi="Times New Roman"/>
                  <w:sz w:val="14"/>
                  <w:szCs w:val="14"/>
                  <w:color w:val="0000FF"/>
                </w:rPr>
                <w:t>Second Supplemental Indenture, dated May 5, 2010, between the Registrant and The Bank of New York Mellon Trust Company, N.A. (incorporated by</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251">
              <w:r>
                <w:rPr>
                  <w:rFonts w:ascii="Times New Roman" w:cs="Times New Roman" w:eastAsia="Times New Roman" w:hAnsi="Times New Roman"/>
                  <w:sz w:val="13"/>
                  <w:szCs w:val="13"/>
                  <w:color w:val="0000FF"/>
                </w:rPr>
                <w:t>reference to Exhibit 4.1 to the Registrant's Current Report on Form 8-K filed on May 5, 2010)</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2">
              <w:r>
                <w:rPr>
                  <w:rFonts w:ascii="Times New Roman" w:cs="Times New Roman" w:eastAsia="Times New Roman" w:hAnsi="Times New Roman"/>
                  <w:sz w:val="14"/>
                  <w:szCs w:val="14"/>
                  <w:color w:val="0000FF"/>
                </w:rPr>
                <w:t>Third Supplemental Indenture, dated June 30, 2014, between the Registrant and The Bank of New York Mellon Trust Company, N.A. (incorporated by reference</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4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52">
              <w:r>
                <w:rPr>
                  <w:rFonts w:ascii="Times New Roman" w:cs="Times New Roman" w:eastAsia="Times New Roman" w:hAnsi="Times New Roman"/>
                  <w:sz w:val="13"/>
                  <w:szCs w:val="13"/>
                  <w:color w:val="0000FF"/>
                </w:rPr>
                <w:t>to Exhibit 4.1 to the Registrant's Current Report on Form 8-K filed on June 30, 2014)</w:t>
              </w:r>
            </w:hyperlink>
          </w:p>
        </w:tc>
        <w:tc>
          <w:tcPr>
            <w:tcW w:w="432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3">
              <w:r>
                <w:rPr>
                  <w:rFonts w:ascii="Times New Roman" w:cs="Times New Roman" w:eastAsia="Times New Roman" w:hAnsi="Times New Roman"/>
                  <w:sz w:val="14"/>
                  <w:szCs w:val="14"/>
                  <w:color w:val="0000FF"/>
                </w:rPr>
                <w:t>Form of Subordinated Indenture between the Registrant and the Bank of New York Trust Company, N.A. (incorporated by reference to Exhibit 4.2 (A) to the</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18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253">
              <w:r>
                <w:rPr>
                  <w:rFonts w:ascii="Times New Roman" w:cs="Times New Roman" w:eastAsia="Times New Roman" w:hAnsi="Times New Roman"/>
                  <w:sz w:val="13"/>
                  <w:szCs w:val="13"/>
                  <w:color w:val="0000FF"/>
                </w:rPr>
                <w:t>Registrant’s Registration Statement on Form S-3 filed on November 14, 2007)</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Fourth Supplemental Indenture, dated August 13, 2018, between the Registrant and The Bank of New York Mellon Trust Company, N.A. (incorporated by</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4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254">
              <w:r>
                <w:rPr>
                  <w:rFonts w:ascii="Times New Roman" w:cs="Times New Roman" w:eastAsia="Times New Roman" w:hAnsi="Times New Roman"/>
                  <w:sz w:val="13"/>
                  <w:szCs w:val="13"/>
                  <w:color w:val="0000FF"/>
                </w:rPr>
                <w:t>reference to Exhibit 4.4 to the Registrant's Current Report on Form 8-K filed on August 13, 2018)</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360" w:type="dxa"/>
            <w:vAlign w:val="bottom"/>
            <w:gridSpan w:val="8"/>
            <w:shd w:val="clear" w:color="auto" w:fill="0000FF"/>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Form of 4.50% Senior Note of the Registrant due 2028 (incorporated by reference to Exhibit A to Exhibit 4.4 to the Registrant's Current Report on Form 8-K</w:t>
              </w:r>
            </w:hyperlink>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90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254">
              <w:r>
                <w:rPr>
                  <w:rFonts w:ascii="Times New Roman" w:cs="Times New Roman" w:eastAsia="Times New Roman" w:hAnsi="Times New Roman"/>
                  <w:sz w:val="14"/>
                  <w:szCs w:val="14"/>
                  <w:color w:val="0000FF"/>
                </w:rPr>
                <w:t>filed on August 13, 2018).</w:t>
              </w:r>
            </w:hyperlink>
          </w:p>
        </w:tc>
        <w:tc>
          <w:tcPr>
            <w:tcW w:w="20" w:type="dxa"/>
            <w:vAlign w:val="bottom"/>
          </w:tcPr>
          <w:p>
            <w:pPr>
              <w:spacing w:after="0"/>
              <w:rPr>
                <w:sz w:val="11"/>
                <w:szCs w:val="11"/>
                <w:color w:val="auto"/>
              </w:rPr>
            </w:pPr>
          </w:p>
        </w:tc>
        <w:tc>
          <w:tcPr>
            <w:tcW w:w="36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436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6"/>
                <w:szCs w:val="16"/>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5">
              <w:r>
                <w:rPr>
                  <w:rFonts w:ascii="Times New Roman" w:cs="Times New Roman" w:eastAsia="Times New Roman" w:hAnsi="Times New Roman"/>
                  <w:sz w:val="14"/>
                  <w:szCs w:val="14"/>
                  <w:color w:val="0000FF"/>
                </w:rPr>
                <w:t xml:space="preserve">Specimen certificate for shares of the Registrant’s FNF Group common stock, par value </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0.0001 per Share (incorporated by reference to Exhibit 4.1 to the</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8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255">
              <w:r>
                <w:rPr>
                  <w:rFonts w:ascii="Times New Roman" w:cs="Times New Roman" w:eastAsia="Times New Roman" w:hAnsi="Times New Roman"/>
                  <w:sz w:val="13"/>
                  <w:szCs w:val="13"/>
                  <w:color w:val="0000FF"/>
                </w:rPr>
                <w:t>Registrant’s Registration Statement on Form S-4/A filed on May 5, 2014)</w:t>
              </w:r>
            </w:hyperlink>
          </w:p>
        </w:tc>
        <w:tc>
          <w:tcPr>
            <w:tcW w:w="5120" w:type="dxa"/>
            <w:vAlign w:val="bottom"/>
            <w:tcBorders>
              <w:top w:val="single" w:sz="8" w:color="0000FF"/>
            </w:tcBorders>
            <w:gridSpan w:val="2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6">
              <w:r>
                <w:rPr>
                  <w:rFonts w:ascii="Times New Roman" w:cs="Times New Roman" w:eastAsia="Times New Roman" w:hAnsi="Times New Roman"/>
                  <w:sz w:val="14"/>
                  <w:szCs w:val="14"/>
                  <w:color w:val="0000FF"/>
                </w:rPr>
                <w:t>Description of FNF Common Stock (incorporated by reference to Exhibit 4.9 to the Registrant’s Annual Report on Form 10-K for the year ended December 31,</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256">
              <w:r>
                <w:rPr>
                  <w:rFonts w:ascii="Times New Roman" w:cs="Times New Roman" w:eastAsia="Times New Roman" w:hAnsi="Times New Roman"/>
                  <w:sz w:val="13"/>
                  <w:szCs w:val="13"/>
                  <w:color w:val="0000FF"/>
                </w:rPr>
                <w:t>2019)</w:t>
              </w:r>
            </w:hyperlink>
          </w:p>
        </w:tc>
        <w:tc>
          <w:tcPr>
            <w:tcW w:w="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2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94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4.10</w:t>
            </w:r>
          </w:p>
        </w:tc>
        <w:tc>
          <w:tcPr>
            <w:tcW w:w="140" w:type="dxa"/>
            <w:vAlign w:val="bottom"/>
          </w:tcPr>
          <w:p>
            <w:pPr>
              <w:spacing w:after="0"/>
              <w:rPr>
                <w:sz w:val="14"/>
                <w:szCs w:val="14"/>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7">
              <w:r>
                <w:rPr>
                  <w:rFonts w:ascii="Times New Roman" w:cs="Times New Roman" w:eastAsia="Times New Roman" w:hAnsi="Times New Roman"/>
                  <w:sz w:val="14"/>
                  <w:szCs w:val="14"/>
                  <w:color w:val="0000FF"/>
                </w:rPr>
                <w:t>Supplemental Indenture, dated as of June 1, 2020, by and among Fidelity &amp; Guaranty Life Holdings, Inc., Fidelity National Financial, Inc., and Wells Fargo</w:t>
              </w:r>
            </w:hyperlink>
          </w:p>
        </w:tc>
        <w:tc>
          <w:tcPr>
            <w:tcW w:w="0" w:type="dxa"/>
            <w:vAlign w:val="bottom"/>
          </w:tcPr>
          <w:p>
            <w:pPr>
              <w:spacing w:after="0"/>
              <w:rPr>
                <w:sz w:val="1"/>
                <w:szCs w:val="1"/>
                <w:color w:val="auto"/>
              </w:rPr>
            </w:pPr>
          </w:p>
        </w:tc>
      </w:tr>
      <w:tr>
        <w:trPr>
          <w:trHeight w:val="118"/>
        </w:trPr>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54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257">
              <w:r>
                <w:rPr>
                  <w:rFonts w:ascii="Times New Roman" w:cs="Times New Roman" w:eastAsia="Times New Roman" w:hAnsi="Times New Roman"/>
                  <w:sz w:val="13"/>
                  <w:szCs w:val="13"/>
                  <w:color w:val="0000FF"/>
                </w:rPr>
                <w:t>Bank, National Association, as trustee (incorporated by reference to Exhibit 4.1 to the Registrant's Current Report on Form 8-K filed on June 1, 2020).</w:t>
              </w:r>
            </w:hyperlink>
          </w:p>
        </w:tc>
        <w:tc>
          <w:tcPr>
            <w:tcW w:w="78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4.11</w:t>
            </w:r>
          </w:p>
        </w:tc>
        <w:tc>
          <w:tcPr>
            <w:tcW w:w="140" w:type="dxa"/>
            <w:vAlign w:val="bottom"/>
          </w:tcPr>
          <w:p>
            <w:pPr>
              <w:spacing w:after="0"/>
              <w:rPr>
                <w:sz w:val="15"/>
                <w:szCs w:val="15"/>
                <w:color w:val="auto"/>
              </w:rPr>
            </w:pPr>
          </w:p>
        </w:tc>
        <w:tc>
          <w:tcPr>
            <w:tcW w:w="9340" w:type="dxa"/>
            <w:vAlign w:val="bottom"/>
            <w:gridSpan w:val="36"/>
          </w:tcPr>
          <w:p>
            <w:pPr>
              <w:spacing w:after="0"/>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Indenture, dated as of April 20, 2018, by and among Fidelity &amp; Guaranty Life Holdings, Inc., the guarantors party thereto and Wells Fargo Bank, National</w:t>
              </w:r>
            </w:hyperlink>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740" w:type="dxa"/>
            <w:vAlign w:val="bottom"/>
            <w:tcBorders>
              <w:top w:val="single" w:sz="8" w:color="0000FF"/>
            </w:tcBorders>
            <w:gridSpan w:val="19"/>
          </w:tcPr>
          <w:p>
            <w:pPr>
              <w:spacing w:after="0" w:line="139" w:lineRule="exact"/>
              <w:rPr>
                <w:rFonts w:ascii="Times New Roman" w:cs="Times New Roman" w:eastAsia="Times New Roman" w:hAnsi="Times New Roman"/>
                <w:sz w:val="14"/>
                <w:szCs w:val="14"/>
                <w:color w:val="0000FF"/>
              </w:rPr>
            </w:pPr>
            <w:hyperlink r:id="rId258">
              <w:r>
                <w:rPr>
                  <w:rFonts w:ascii="Times New Roman" w:cs="Times New Roman" w:eastAsia="Times New Roman" w:hAnsi="Times New Roman"/>
                  <w:sz w:val="14"/>
                  <w:szCs w:val="14"/>
                  <w:color w:val="0000FF"/>
                </w:rPr>
                <w:t>Association, as trustee (incorporated by reference to Exhibit 4.1 to the Current Report on Form 8-K filed by FGL Holdings (File No. 001-37779) on April</w:t>
              </w:r>
            </w:hyperlink>
          </w:p>
        </w:tc>
        <w:tc>
          <w:tcPr>
            <w:tcW w:w="600" w:type="dxa"/>
            <w:vAlign w:val="bottom"/>
            <w:gridSpan w:val="17"/>
          </w:tcPr>
          <w:p>
            <w:pPr>
              <w:jc w:val="right"/>
              <w:ind w:right="420"/>
              <w:spacing w:after="0" w:line="139" w:lineRule="exact"/>
              <w:rPr>
                <w:rFonts w:ascii="Times New Roman" w:cs="Times New Roman" w:eastAsia="Times New Roman" w:hAnsi="Times New Roman"/>
                <w:sz w:val="14"/>
                <w:szCs w:val="14"/>
                <w:color w:val="0000FF"/>
                <w:w w:val="91"/>
              </w:rPr>
            </w:pPr>
            <w:hyperlink r:id="rId258">
              <w:r>
                <w:rPr>
                  <w:rFonts w:ascii="Times New Roman" w:cs="Times New Roman" w:eastAsia="Times New Roman" w:hAnsi="Times New Roman"/>
                  <w:sz w:val="14"/>
                  <w:szCs w:val="14"/>
                  <w:color w:val="0000FF"/>
                  <w:w w:val="91"/>
                </w:rPr>
                <w:t>25,</w:t>
              </w:r>
            </w:hyperlink>
          </w:p>
        </w:tc>
        <w:tc>
          <w:tcPr>
            <w:tcW w:w="0" w:type="dxa"/>
            <w:vAlign w:val="bottom"/>
          </w:tcPr>
          <w:p>
            <w:pPr>
              <w:spacing w:after="0"/>
              <w:rPr>
                <w:sz w:val="1"/>
                <w:szCs w:val="1"/>
                <w:color w:val="auto"/>
              </w:rPr>
            </w:pPr>
          </w:p>
        </w:tc>
      </w:tr>
      <w:tr>
        <w:trPr>
          <w:trHeight w:val="139"/>
        </w:trPr>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top w:val="single" w:sz="8" w:color="0000FF"/>
              <w:bottom w:val="single" w:sz="8" w:color="0000FF"/>
            </w:tcBorders>
            <w:gridSpan w:val="2"/>
          </w:tcPr>
          <w:p>
            <w:pPr>
              <w:spacing w:after="0" w:line="139" w:lineRule="exact"/>
              <w:rPr>
                <w:rFonts w:ascii="Times New Roman" w:cs="Times New Roman" w:eastAsia="Times New Roman" w:hAnsi="Times New Roman"/>
                <w:sz w:val="14"/>
                <w:szCs w:val="14"/>
                <w:color w:val="0000FF"/>
                <w:w w:val="99"/>
              </w:rPr>
            </w:pPr>
            <w:hyperlink r:id="rId258">
              <w:r>
                <w:rPr>
                  <w:rFonts w:ascii="Times New Roman" w:cs="Times New Roman" w:eastAsia="Times New Roman" w:hAnsi="Times New Roman"/>
                  <w:sz w:val="14"/>
                  <w:szCs w:val="14"/>
                  <w:color w:val="0000FF"/>
                  <w:w w:val="99"/>
                </w:rPr>
                <w:t>2018).</w:t>
              </w:r>
            </w:hyperlink>
          </w:p>
        </w:tc>
        <w:tc>
          <w:tcPr>
            <w:tcW w:w="64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2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940" w:type="dxa"/>
            <w:vAlign w:val="bottom"/>
            <w:tcBorders>
              <w:top w:val="single" w:sz="8" w:color="0000FF"/>
            </w:tcBorders>
          </w:tcPr>
          <w:p>
            <w:pPr>
              <w:spacing w:after="0"/>
              <w:rPr>
                <w:sz w:val="12"/>
                <w:szCs w:val="12"/>
                <w:color w:val="auto"/>
              </w:rPr>
            </w:pPr>
          </w:p>
        </w:tc>
        <w:tc>
          <w:tcPr>
            <w:tcW w:w="70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60" w:type="dxa"/>
            <w:vAlign w:val="bottom"/>
            <w:gridSpan w:val="2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80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6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4.12</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Fifth Supplemental Indenture, dated as of June 12, 2020, between Fidelity National Financial, Inc. and The Bank of New York Mellon Trust Company, N.A. (incorporated by reference</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60" w:type="dxa"/>
            <w:vAlign w:val="bottom"/>
            <w:tcBorders>
              <w:top w:val="single" w:sz="8" w:color="0000FF"/>
              <w:bottom w:val="single" w:sz="8" w:color="0000FF"/>
            </w:tcBorders>
            <w:gridSpan w:val="12"/>
          </w:tcPr>
          <w:p>
            <w:pPr>
              <w:spacing w:after="0" w:line="13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to Exhibit 4.1 to the Registrant's Current Report on Form 8-K filed on June 12, 2020).</w:t>
              </w:r>
            </w:hyperlink>
          </w:p>
        </w:tc>
        <w:tc>
          <w:tcPr>
            <w:tcW w:w="5520" w:type="dxa"/>
            <w:vAlign w:val="bottom"/>
            <w:tcBorders>
              <w:top w:val="single" w:sz="8" w:color="0000FF"/>
            </w:tcBorders>
            <w:gridSpan w:val="10"/>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4.13</w:t>
            </w:r>
          </w:p>
        </w:tc>
        <w:tc>
          <w:tcPr>
            <w:tcW w:w="200" w:type="dxa"/>
            <w:vAlign w:val="bottom"/>
          </w:tcPr>
          <w:p>
            <w:pPr>
              <w:spacing w:after="0"/>
              <w:rPr>
                <w:sz w:val="16"/>
                <w:szCs w:val="16"/>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Form of 3.40% Senior Note of the Registrant due 2030 (included in Exhibit 4.12 hereto which is incorporated by reference to Exhibit 4.1 to the Registrant's Current Report on Form 8-K</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560" w:type="dxa"/>
            <w:vAlign w:val="bottom"/>
            <w:tcBorders>
              <w:top w:val="single" w:sz="8" w:color="0000FF"/>
            </w:tcBorders>
            <w:gridSpan w:val="29"/>
          </w:tcPr>
          <w:p>
            <w:pPr>
              <w:spacing w:after="0" w:line="139" w:lineRule="exact"/>
              <w:rPr>
                <w:rFonts w:ascii="Times New Roman" w:cs="Times New Roman" w:eastAsia="Times New Roman" w:hAnsi="Times New Roman"/>
                <w:sz w:val="14"/>
                <w:szCs w:val="14"/>
                <w:color w:val="0000FF"/>
              </w:rPr>
            </w:pPr>
            <w:hyperlink r:id="rId260">
              <w:r>
                <w:rPr>
                  <w:rFonts w:ascii="Times New Roman" w:cs="Times New Roman" w:eastAsia="Times New Roman" w:hAnsi="Times New Roman"/>
                  <w:sz w:val="14"/>
                  <w:szCs w:val="14"/>
                  <w:color w:val="0000FF"/>
                </w:rPr>
                <w:t>filed on June 12,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tcPr>
          <w:p>
            <w:pPr>
              <w:spacing w:after="0"/>
              <w:rPr>
                <w:sz w:val="15"/>
                <w:szCs w:val="15"/>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1">
              <w:r>
                <w:rPr>
                  <w:rFonts w:ascii="Times New Roman" w:cs="Times New Roman" w:eastAsia="Times New Roman" w:hAnsi="Times New Roman"/>
                  <w:sz w:val="14"/>
                  <w:szCs w:val="14"/>
                  <w:color w:val="0000FF"/>
                </w:rPr>
                <w:t>Sixth Supplemental Indenture, dated as of September 15, 2020, between Fidelity National Financial, Inc. and The Bank of New York Mellon Trust Company, N.A. (incorporated by</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60" w:type="dxa"/>
            <w:vAlign w:val="bottom"/>
            <w:tcBorders>
              <w:top w:val="single" w:sz="8" w:color="0000FF"/>
            </w:tcBorders>
            <w:gridSpan w:val="34"/>
          </w:tcPr>
          <w:p>
            <w:pPr>
              <w:spacing w:after="0" w:line="118" w:lineRule="exact"/>
              <w:rPr>
                <w:rFonts w:ascii="Times New Roman" w:cs="Times New Roman" w:eastAsia="Times New Roman" w:hAnsi="Times New Roman"/>
                <w:sz w:val="13"/>
                <w:szCs w:val="13"/>
                <w:color w:val="0000FF"/>
              </w:rPr>
            </w:pPr>
            <w:hyperlink r:id="rId261">
              <w:r>
                <w:rPr>
                  <w:rFonts w:ascii="Times New Roman" w:cs="Times New Roman" w:eastAsia="Times New Roman" w:hAnsi="Times New Roman"/>
                  <w:sz w:val="13"/>
                  <w:szCs w:val="13"/>
                  <w:color w:val="0000FF"/>
                </w:rPr>
                <w:t>reference to Exhibit 4.1 to the Registrant's Current Report on Form 8-K filed on September 15,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5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4.15</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Seventh Supplemental Indenture, dated as of September 17, 2021, between Fidelity National Financial, Inc. and The Bank of New York Mellon Trust Company, N.A. (incorporated by</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340" w:type="dxa"/>
            <w:vAlign w:val="bottom"/>
            <w:tcBorders>
              <w:top w:val="single" w:sz="8" w:color="0000FF"/>
            </w:tcBorders>
            <w:gridSpan w:val="21"/>
          </w:tcPr>
          <w:p>
            <w:pPr>
              <w:spacing w:after="0" w:line="139"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reference to Exhibit 4.1 to the Registrant's Current Report on Form 8-K filed on September 17, 2021)</w:t>
              </w:r>
            </w:hyperlink>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4.16</w:t>
            </w:r>
          </w:p>
        </w:tc>
        <w:tc>
          <w:tcPr>
            <w:tcW w:w="200" w:type="dxa"/>
            <w:vAlign w:val="bottom"/>
          </w:tcPr>
          <w:p>
            <w:pPr>
              <w:spacing w:after="0"/>
              <w:rPr>
                <w:sz w:val="15"/>
                <w:szCs w:val="15"/>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Eight Supplemental Indenture, dated as of April 22, 2024, between Fidelity National Financial, Inc. and The Bank of New York Mellon Trust Company, N.A. (incorporated by reference</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tcBorders>
              <w:top w:val="single" w:sz="8" w:color="0000FF"/>
              <w:bottom w:val="single" w:sz="8" w:color="0000FF"/>
            </w:tcBorders>
            <w:gridSpan w:val="11"/>
          </w:tcPr>
          <w:p>
            <w:pPr>
              <w:spacing w:after="0" w:line="139" w:lineRule="exact"/>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to Exhibit 4.1 to the Registrant's Current Report on 8-K filed on April 23, 2024)</w:t>
              </w:r>
            </w:hyperlink>
          </w:p>
        </w:tc>
        <w:tc>
          <w:tcPr>
            <w:tcW w:w="594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4.17</w:t>
            </w:r>
          </w:p>
        </w:tc>
        <w:tc>
          <w:tcPr>
            <w:tcW w:w="200" w:type="dxa"/>
            <w:vAlign w:val="bottom"/>
          </w:tcPr>
          <w:p>
            <w:pPr>
              <w:spacing w:after="0"/>
              <w:rPr>
                <w:sz w:val="15"/>
                <w:szCs w:val="15"/>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Form of 3.20% Senior Note of the Registrant due 2051 (included in exhibit 4.16 hereto which is incorporated by reference to Exhibit 4.1 to the Registrant's Current Report on Form 8-K</w:t>
              </w:r>
            </w:hyperlink>
          </w:p>
        </w:tc>
        <w:tc>
          <w:tcPr>
            <w:tcW w:w="0" w:type="dxa"/>
            <w:vAlign w:val="bottom"/>
          </w:tcPr>
          <w:p>
            <w:pPr>
              <w:spacing w:after="0"/>
              <w:rPr>
                <w:sz w:val="1"/>
                <w:szCs w:val="1"/>
                <w:color w:val="auto"/>
              </w:rPr>
            </w:pPr>
          </w:p>
        </w:tc>
      </w:tr>
      <w:tr>
        <w:trPr>
          <w:trHeight w:val="139"/>
        </w:trPr>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40" w:type="dxa"/>
            <w:vAlign w:val="bottom"/>
            <w:tcBorders>
              <w:top w:val="single" w:sz="8" w:color="0000FF"/>
            </w:tcBorders>
            <w:gridSpan w:val="23"/>
          </w:tcPr>
          <w:p>
            <w:pPr>
              <w:spacing w:after="0" w:line="139" w:lineRule="exact"/>
              <w:rPr>
                <w:rFonts w:ascii="Times New Roman" w:cs="Times New Roman" w:eastAsia="Times New Roman" w:hAnsi="Times New Roman"/>
                <w:sz w:val="14"/>
                <w:szCs w:val="14"/>
                <w:color w:val="0000FF"/>
              </w:rPr>
            </w:pPr>
            <w:hyperlink r:id="rId262">
              <w:r>
                <w:rPr>
                  <w:rFonts w:ascii="Times New Roman" w:cs="Times New Roman" w:eastAsia="Times New Roman" w:hAnsi="Times New Roman"/>
                  <w:sz w:val="14"/>
                  <w:szCs w:val="14"/>
                  <w:color w:val="0000FF"/>
                </w:rPr>
                <w:t>filed on September 17,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4.18</w:t>
            </w:r>
          </w:p>
        </w:tc>
        <w:tc>
          <w:tcPr>
            <w:tcW w:w="200" w:type="dxa"/>
            <w:vAlign w:val="bottom"/>
          </w:tcPr>
          <w:p>
            <w:pPr>
              <w:spacing w:after="0"/>
              <w:rPr>
                <w:sz w:val="15"/>
                <w:szCs w:val="15"/>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4">
              <w:r>
                <w:rPr>
                  <w:rFonts w:ascii="Times New Roman" w:cs="Times New Roman" w:eastAsia="Times New Roman" w:hAnsi="Times New Roman"/>
                  <w:sz w:val="14"/>
                  <w:szCs w:val="14"/>
                  <w:color w:val="0000FF"/>
                </w:rPr>
                <w:t>Indenture, dated as of January 13, 2023, by and among F&amp;G Annuities &amp; Life, Inc., the guarantors named therein and Citibank, N.A. (incorporated by reference to Exhibit 4.1 to the</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80" w:type="dxa"/>
            <w:vAlign w:val="bottom"/>
            <w:tcBorders>
              <w:top w:val="single" w:sz="8" w:color="0000FF"/>
            </w:tcBorders>
            <w:gridSpan w:val="35"/>
          </w:tcPr>
          <w:p>
            <w:pPr>
              <w:spacing w:after="0" w:line="118" w:lineRule="exact"/>
              <w:rPr>
                <w:rFonts w:ascii="Times New Roman" w:cs="Times New Roman" w:eastAsia="Times New Roman" w:hAnsi="Times New Roman"/>
                <w:sz w:val="13"/>
                <w:szCs w:val="13"/>
                <w:color w:val="0000FF"/>
              </w:rPr>
            </w:pPr>
            <w:hyperlink r:id="rId264">
              <w:r>
                <w:rPr>
                  <w:rFonts w:ascii="Times New Roman" w:cs="Times New Roman" w:eastAsia="Times New Roman" w:hAnsi="Times New Roman"/>
                  <w:sz w:val="13"/>
                  <w:szCs w:val="13"/>
                  <w:color w:val="0000FF"/>
                </w:rPr>
                <w:t>Registrant's Current Report on Form 8-K filed on January 13,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4.19</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First Supplemental Indenture, dated as of January 13, 2023, among F&amp;G Annuities &amp; Life, Inc., the guarantors named therein and Citibank, N.A. (incorporated by reference to Exhibit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20" w:type="dxa"/>
            <w:vAlign w:val="bottom"/>
            <w:tcBorders>
              <w:top w:val="single" w:sz="8" w:color="0000FF"/>
            </w:tcBorders>
            <w:gridSpan w:val="32"/>
          </w:tcPr>
          <w:p>
            <w:pPr>
              <w:spacing w:after="0" w:line="118" w:lineRule="exact"/>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4.</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the Registrant's Current Report on Form 8-K filed on January 13, 2023)</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4.20</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5">
              <w:r>
                <w:rPr>
                  <w:rFonts w:ascii="Times New Roman" w:cs="Times New Roman" w:eastAsia="Times New Roman" w:hAnsi="Times New Roman"/>
                  <w:sz w:val="14"/>
                  <w:szCs w:val="14"/>
                  <w:color w:val="0000FF"/>
                </w:rPr>
                <w:t>Form of F&amp;G Annuities &amp; Life, Inc’s 7.400% Senior Notes due 2028 (included in Exhibit 4.18 hereto which is incorporated by reference to Exhibit 4.2 to the Registrant's Current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265">
              <w:r>
                <w:rPr>
                  <w:rFonts w:ascii="Times New Roman" w:cs="Times New Roman" w:eastAsia="Times New Roman" w:hAnsi="Times New Roman"/>
                  <w:sz w:val="13"/>
                  <w:szCs w:val="13"/>
                  <w:color w:val="0000FF"/>
                </w:rPr>
                <w:t>Report on Form 8-K filed on January 13, 2023)</w:t>
              </w:r>
            </w:hyperlink>
          </w:p>
        </w:tc>
        <w:tc>
          <w:tcPr>
            <w:tcW w:w="786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4.21</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6">
              <w:r>
                <w:rPr>
                  <w:rFonts w:ascii="Times New Roman" w:cs="Times New Roman" w:eastAsia="Times New Roman" w:hAnsi="Times New Roman"/>
                  <w:sz w:val="14"/>
                  <w:szCs w:val="14"/>
                  <w:color w:val="0000FF"/>
                </w:rPr>
                <w:t>Third Supplemental Indenture relating to the 7.950% Senior Notes due 2053, dated as of December 6, 2023, among F&amp;G Annuities &amp; Life, Inc., the guarantors named therein and</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266">
              <w:r>
                <w:rPr>
                  <w:rFonts w:ascii="Times New Roman" w:cs="Times New Roman" w:eastAsia="Times New Roman" w:hAnsi="Times New Roman"/>
                  <w:sz w:val="13"/>
                  <w:szCs w:val="13"/>
                  <w:color w:val="0000FF"/>
                </w:rPr>
                <w:t>Citibank, N.A., as trustee (incorporated by reference to the Company’s Current Report on Form 8-K, filed with the Commission on December 6, 2023)</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4.22</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Fourth Supplemental Indenture relating to F&amp;G Annuities &amp; Life, Inc.’s 6.500% senior notes due 2029, dated as of June 4, 2024, among F&amp;G Annuities &amp; Life, Inc., the guarantors</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4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267">
              <w:r>
                <w:rPr>
                  <w:rFonts w:ascii="Times New Roman" w:cs="Times New Roman" w:eastAsia="Times New Roman" w:hAnsi="Times New Roman"/>
                  <w:sz w:val="13"/>
                  <w:szCs w:val="13"/>
                  <w:color w:val="0000FF"/>
                </w:rPr>
                <w:t>named therein and Citibank, N.A., as trustee. (incorporated by reference to Exhibit 4.1 to the Registrant's Current Report on Form 8-K filed on June 4, 2024).</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4.23</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Fifth Supplemental Indenture relating to F&amp;G Annuities &amp; Life, Inc.’s 6.250% senior notes due 2034, dated as of October 4, 2024, among F&amp;G Annuities &amp; Life, Inc., the guarantors</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900" w:type="dxa"/>
            <w:vAlign w:val="bottom"/>
            <w:tcBorders>
              <w:top w:val="single" w:sz="8" w:color="0000FF"/>
              <w:bottom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268">
              <w:r>
                <w:rPr>
                  <w:rFonts w:ascii="Times New Roman" w:cs="Times New Roman" w:eastAsia="Times New Roman" w:hAnsi="Times New Roman"/>
                  <w:sz w:val="13"/>
                  <w:szCs w:val="13"/>
                  <w:color w:val="0000FF"/>
                </w:rPr>
                <w:t>named therein and Citibank, N.A., as trustee (incorporated by reference to Exhibit 4.1 to Registrant's Current Report on Form 8-K filed on October 4, 2024).</w:t>
              </w:r>
            </w:hyperlink>
          </w:p>
        </w:tc>
        <w:tc>
          <w:tcPr>
            <w:tcW w:w="1680" w:type="dxa"/>
            <w:vAlign w:val="bottom"/>
            <w:tcBorders>
              <w:top w:val="single" w:sz="8" w:color="0000FF"/>
            </w:tcBorders>
            <w:gridSpan w:val="12"/>
          </w:tcPr>
          <w:p>
            <w:pPr>
              <w:spacing w:after="0"/>
              <w:rPr>
                <w:sz w:val="10"/>
                <w:szCs w:val="10"/>
                <w:color w:val="auto"/>
              </w:rPr>
            </w:pPr>
          </w:p>
        </w:tc>
        <w:tc>
          <w:tcPr>
            <w:tcW w:w="12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4.24</w:t>
            </w:r>
          </w:p>
        </w:tc>
        <w:tc>
          <w:tcPr>
            <w:tcW w:w="200" w:type="dxa"/>
            <w:vAlign w:val="bottom"/>
          </w:tcPr>
          <w:p>
            <w:pPr>
              <w:spacing w:after="0"/>
              <w:rPr>
                <w:sz w:val="14"/>
                <w:szCs w:val="14"/>
                <w:color w:val="auto"/>
              </w:rPr>
            </w:pPr>
          </w:p>
        </w:tc>
        <w:tc>
          <w:tcPr>
            <w:tcW w:w="102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268">
              <w:r>
                <w:rPr>
                  <w:rFonts w:ascii="Times New Roman" w:cs="Times New Roman" w:eastAsia="Times New Roman" w:hAnsi="Times New Roman"/>
                  <w:sz w:val="14"/>
                  <w:szCs w:val="14"/>
                  <w:color w:val="0000FF"/>
                </w:rPr>
                <w:t>Form of F&amp;G Annuities &amp; Life, Inc.’s 6.250% senior notes due 2034 (incorporated by reference to Exhibit 4.2 to Registrant's Current Report on Form 8-K filed on October 4, 2024).</w:t>
              </w:r>
            </w:hyperlink>
          </w:p>
        </w:tc>
        <w:tc>
          <w:tcPr>
            <w:tcW w:w="46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4.25</w:t>
            </w:r>
          </w:p>
        </w:tc>
        <w:tc>
          <w:tcPr>
            <w:tcW w:w="200" w:type="dxa"/>
            <w:vAlign w:val="bottom"/>
          </w:tcPr>
          <w:p>
            <w:pPr>
              <w:spacing w:after="0"/>
              <w:rPr>
                <w:sz w:val="13"/>
                <w:szCs w:val="13"/>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7">
              <w:r>
                <w:rPr>
                  <w:rFonts w:ascii="Times New Roman" w:cs="Times New Roman" w:eastAsia="Times New Roman" w:hAnsi="Times New Roman"/>
                  <w:sz w:val="14"/>
                  <w:szCs w:val="14"/>
                  <w:color w:val="0000FF"/>
                </w:rPr>
                <w:t>Form of F&amp;G Annuities &amp; Life, Inc.’s 6.500% senior notes due 2029 (incorporated by reference to Exhibit 4.2 to Registrant's Current Report on Form 8-K filed on June 4, 2024).</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160" w:type="dxa"/>
            <w:vAlign w:val="bottom"/>
            <w:gridSpan w:val="8"/>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4.26</w:t>
            </w:r>
          </w:p>
        </w:tc>
        <w:tc>
          <w:tcPr>
            <w:tcW w:w="200" w:type="dxa"/>
            <w:vAlign w:val="bottom"/>
          </w:tcPr>
          <w:p>
            <w:pPr>
              <w:spacing w:after="0"/>
              <w:rPr>
                <w:sz w:val="13"/>
                <w:szCs w:val="13"/>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Underwriting Agreement, dated as of October 1, 2024, among F&amp;G Annuities &amp; Life, Inc., the guarantors party thereto and Wells Fargo Securities, LLC, BofA Securities, Inc., J.P.</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2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269">
              <w:r>
                <w:rPr>
                  <w:rFonts w:ascii="Times New Roman" w:cs="Times New Roman" w:eastAsia="Times New Roman" w:hAnsi="Times New Roman"/>
                  <w:sz w:val="13"/>
                  <w:szCs w:val="13"/>
                  <w:color w:val="0000FF"/>
                </w:rPr>
                <w:t>Morgan Securities LLC and RBC Capital Markets, LLC, as representatives of the several underwriters named therein. (incorporated by reference to Exhibit 1.1 to the Registrant's</w:t>
              </w:r>
            </w:hyperlink>
          </w:p>
        </w:tc>
        <w:tc>
          <w:tcPr>
            <w:tcW w:w="180" w:type="dxa"/>
            <w:vAlign w:val="bottom"/>
            <w:gridSpan w:val="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80" w:type="dxa"/>
            <w:vAlign w:val="bottom"/>
            <w:tcBorders>
              <w:top w:val="single" w:sz="8" w:color="0000FF"/>
            </w:tcBorders>
            <w:gridSpan w:val="35"/>
          </w:tcPr>
          <w:p>
            <w:pPr>
              <w:spacing w:after="0" w:line="129" w:lineRule="exact"/>
              <w:rPr>
                <w:rFonts w:ascii="Times New Roman" w:cs="Times New Roman" w:eastAsia="Times New Roman" w:hAnsi="Times New Roman"/>
                <w:sz w:val="14"/>
                <w:szCs w:val="14"/>
                <w:color w:val="0000FF"/>
              </w:rPr>
            </w:pPr>
            <w:hyperlink r:id="rId269">
              <w:r>
                <w:rPr>
                  <w:rFonts w:ascii="Times New Roman" w:cs="Times New Roman" w:eastAsia="Times New Roman" w:hAnsi="Times New Roman"/>
                  <w:sz w:val="14"/>
                  <w:szCs w:val="14"/>
                  <w:color w:val="0000FF"/>
                </w:rPr>
                <w:t>Current Report on Form 8-K filed on October 4,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4.27</w:t>
            </w:r>
          </w:p>
        </w:tc>
        <w:tc>
          <w:tcPr>
            <w:tcW w:w="200" w:type="dxa"/>
            <w:vAlign w:val="bottom"/>
          </w:tcPr>
          <w:p>
            <w:pPr>
              <w:spacing w:after="0"/>
              <w:rPr>
                <w:sz w:val="13"/>
                <w:szCs w:val="13"/>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70">
              <w:r>
                <w:rPr>
                  <w:rFonts w:ascii="Times New Roman" w:cs="Times New Roman" w:eastAsia="Times New Roman" w:hAnsi="Times New Roman"/>
                  <w:sz w:val="14"/>
                  <w:szCs w:val="14"/>
                  <w:color w:val="0000FF"/>
                </w:rPr>
                <w:t>Indenture, dated as of January 13, 2025, between F&amp;G Annuities &amp; Life, Inc. and Citibank, N.A., as trustee. (incorporated by reference to Exhibit 4.1 to the Registrant's Current Report</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270">
              <w:r>
                <w:rPr>
                  <w:rFonts w:ascii="Times New Roman" w:cs="Times New Roman" w:eastAsia="Times New Roman" w:hAnsi="Times New Roman"/>
                  <w:sz w:val="13"/>
                  <w:szCs w:val="13"/>
                  <w:color w:val="0000FF"/>
                </w:rPr>
                <w:t>on Form 8-K filed on January 13, 2025).</w:t>
              </w:r>
            </w:hyperlink>
          </w:p>
        </w:tc>
        <w:tc>
          <w:tcPr>
            <w:tcW w:w="8180" w:type="dxa"/>
            <w:vAlign w:val="bottom"/>
            <w:tcBorders>
              <w:top w:val="single" w:sz="8" w:color="0000FF"/>
            </w:tcBorders>
            <w:gridSpan w:val="19"/>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4.28</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First Supplemental Indenture relating to F&amp;G Annuities &amp; Life, Inc.’s 7.300% junior subordinated notes due 2065, dated as of January 13, 2025, between F&amp;G Annuities &amp; Life, Inc.</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271">
              <w:r>
                <w:rPr>
                  <w:rFonts w:ascii="Times New Roman" w:cs="Times New Roman" w:eastAsia="Times New Roman" w:hAnsi="Times New Roman"/>
                  <w:sz w:val="13"/>
                  <w:szCs w:val="13"/>
                  <w:color w:val="0000FF"/>
                </w:rPr>
                <w:t>and Citibank, N.A., as trustee (incorporated by reference to Exhibit 4.2 to the Registrant's Current Report on Form 8-K filed on January 13, 2025).</w:t>
              </w:r>
            </w:hyperlink>
          </w:p>
        </w:tc>
        <w:tc>
          <w:tcPr>
            <w:tcW w:w="20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40" w:type="dxa"/>
            <w:vAlign w:val="bottom"/>
            <w:gridSpan w:val="13"/>
            <w:shd w:val="clear" w:color="auto" w:fill="0000FF"/>
          </w:tcPr>
          <w:p>
            <w:pPr>
              <w:spacing w:after="0" w:line="20" w:lineRule="exact"/>
              <w:rPr>
                <w:sz w:val="1"/>
                <w:szCs w:val="1"/>
                <w:color w:val="auto"/>
              </w:rPr>
            </w:pPr>
          </w:p>
        </w:tc>
        <w:tc>
          <w:tcPr>
            <w:tcW w:w="2420" w:type="dxa"/>
            <w:vAlign w:val="bottom"/>
            <w:gridSpan w:val="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4.29</w:t>
            </w:r>
          </w:p>
        </w:tc>
        <w:tc>
          <w:tcPr>
            <w:tcW w:w="200" w:type="dxa"/>
            <w:vAlign w:val="bottom"/>
          </w:tcPr>
          <w:p>
            <w:pPr>
              <w:spacing w:after="0"/>
              <w:rPr>
                <w:sz w:val="14"/>
                <w:szCs w:val="14"/>
                <w:color w:val="auto"/>
              </w:rPr>
            </w:pPr>
          </w:p>
        </w:tc>
        <w:tc>
          <w:tcPr>
            <w:tcW w:w="10720" w:type="dxa"/>
            <w:vAlign w:val="bottom"/>
            <w:gridSpan w:val="37"/>
          </w:tcPr>
          <w:p>
            <w:pPr>
              <w:spacing w:after="0"/>
              <w:rPr>
                <w:rFonts w:ascii="Times New Roman" w:cs="Times New Roman" w:eastAsia="Times New Roman" w:hAnsi="Times New Roman"/>
                <w:sz w:val="14"/>
                <w:szCs w:val="14"/>
                <w:color w:val="0000FF"/>
              </w:rPr>
            </w:pPr>
            <w:hyperlink r:id="rId271">
              <w:r>
                <w:rPr>
                  <w:rFonts w:ascii="Times New Roman" w:cs="Times New Roman" w:eastAsia="Times New Roman" w:hAnsi="Times New Roman"/>
                  <w:sz w:val="14"/>
                  <w:szCs w:val="14"/>
                  <w:color w:val="0000FF"/>
                </w:rPr>
                <w:t>Form of F&amp;G Annuities &amp; Life, Inc.’s 7.300% junior subordinated notes due 2065 (incorporated by reference to Exhibit 4.2 to the Registrant's Current Report on Form 8-K filed on</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700" w:type="dxa"/>
            <w:vAlign w:val="bottom"/>
            <w:tcBorders>
              <w:top w:val="single" w:sz="8" w:color="0000FF"/>
            </w:tcBorders>
            <w:gridSpan w:val="36"/>
          </w:tcPr>
          <w:p>
            <w:pPr>
              <w:spacing w:after="0" w:line="118" w:lineRule="exact"/>
              <w:rPr>
                <w:rFonts w:ascii="Times New Roman" w:cs="Times New Roman" w:eastAsia="Times New Roman" w:hAnsi="Times New Roman"/>
                <w:sz w:val="13"/>
                <w:szCs w:val="13"/>
                <w:color w:val="0000FF"/>
              </w:rPr>
            </w:pPr>
            <w:hyperlink r:id="rId271">
              <w:r>
                <w:rPr>
                  <w:rFonts w:ascii="Times New Roman" w:cs="Times New Roman" w:eastAsia="Times New Roman" w:hAnsi="Times New Roman"/>
                  <w:sz w:val="13"/>
                  <w:szCs w:val="13"/>
                  <w:color w:val="0000FF"/>
                </w:rPr>
                <w:t>January 13, 2025).</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4"/>
                <w:szCs w:val="14"/>
                <w:color w:val="auto"/>
              </w:rPr>
              <w:t>4.30</w:t>
            </w: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720" w:type="dxa"/>
            <w:vAlign w:val="bottom"/>
            <w:gridSpan w:val="37"/>
            <w:vMerge w:val="restart"/>
          </w:tcPr>
          <w:p>
            <w:pPr>
              <w:spacing w:after="0"/>
              <w:rPr>
                <w:rFonts w:ascii="Times New Roman" w:cs="Times New Roman" w:eastAsia="Times New Roman" w:hAnsi="Times New Roman"/>
                <w:sz w:val="14"/>
                <w:szCs w:val="14"/>
                <w:color w:val="0000FF"/>
              </w:rPr>
            </w:pPr>
            <w:hyperlink r:id="rId272">
              <w:r>
                <w:rPr>
                  <w:rFonts w:ascii="Times New Roman" w:cs="Times New Roman" w:eastAsia="Times New Roman" w:hAnsi="Times New Roman"/>
                  <w:sz w:val="14"/>
                  <w:szCs w:val="14"/>
                  <w:color w:val="0000FF"/>
                </w:rPr>
                <w:t>Ninth Supplemental Indenture, dated as of June 4, 2025 (incorporated by reference to Exhibit No. 4.1 to the Company’s Current Report on Form 8-K filed with the Commission on June</w:t>
              </w:r>
            </w:hyperlink>
          </w:p>
        </w:tc>
        <w:tc>
          <w:tcPr>
            <w:tcW w:w="0" w:type="dxa"/>
            <w:vAlign w:val="bottom"/>
          </w:tcPr>
          <w:p>
            <w:pPr>
              <w:spacing w:after="0"/>
              <w:rPr>
                <w:sz w:val="1"/>
                <w:szCs w:val="1"/>
                <w:color w:val="auto"/>
              </w:rPr>
            </w:pPr>
          </w:p>
        </w:tc>
      </w:tr>
      <w:tr>
        <w:trPr>
          <w:trHeight w:val="112"/>
        </w:trPr>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720" w:type="dxa"/>
            <w:vAlign w:val="bottom"/>
            <w:tcBorders>
              <w:bottom w:val="single" w:sz="8" w:color="0000FF"/>
            </w:tcBorders>
            <w:gridSpan w:val="3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bottom w:val="single" w:sz="8" w:color="0000FF"/>
            </w:tcBorders>
            <w:gridSpan w:val="2"/>
          </w:tcPr>
          <w:p>
            <w:pPr>
              <w:spacing w:after="0" w:line="129" w:lineRule="exact"/>
              <w:rPr>
                <w:rFonts w:ascii="Times New Roman" w:cs="Times New Roman" w:eastAsia="Times New Roman" w:hAnsi="Times New Roman"/>
                <w:sz w:val="14"/>
                <w:szCs w:val="14"/>
                <w:color w:val="0000FF"/>
                <w:w w:val="95"/>
              </w:rPr>
            </w:pPr>
            <w:hyperlink r:id="rId272">
              <w:r>
                <w:rPr>
                  <w:rFonts w:ascii="Times New Roman" w:cs="Times New Roman" w:eastAsia="Times New Roman" w:hAnsi="Times New Roman"/>
                  <w:sz w:val="14"/>
                  <w:szCs w:val="14"/>
                  <w:color w:val="0000FF"/>
                  <w:w w:val="95"/>
                </w:rPr>
                <w:t>4, 2025).</w:t>
              </w:r>
            </w:hyperlink>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00" w:type="dxa"/>
            <w:vAlign w:val="bottom"/>
            <w:gridSpan w:val="2"/>
          </w:tcPr>
          <w:p>
            <w:pPr>
              <w:jc w:val="center"/>
              <w:ind w:left="110"/>
              <w:spacing w:after="0"/>
              <w:rPr>
                <w:sz w:val="20"/>
                <w:szCs w:val="20"/>
                <w:color w:val="auto"/>
              </w:rPr>
            </w:pPr>
            <w:r>
              <w:rPr>
                <w:rFonts w:ascii="Times New Roman" w:cs="Times New Roman" w:eastAsia="Times New Roman" w:hAnsi="Times New Roman"/>
                <w:sz w:val="14"/>
                <w:szCs w:val="14"/>
                <w:color w:val="auto"/>
              </w:rPr>
              <w:t>10.1</w:t>
            </w:r>
          </w:p>
        </w:tc>
        <w:tc>
          <w:tcPr>
            <w:tcW w:w="200" w:type="dxa"/>
            <w:vAlign w:val="bottom"/>
          </w:tcPr>
          <w:p>
            <w:pPr>
              <w:spacing w:after="0"/>
              <w:rPr>
                <w:sz w:val="13"/>
                <w:szCs w:val="13"/>
                <w:color w:val="auto"/>
              </w:rPr>
            </w:pPr>
          </w:p>
        </w:tc>
        <w:tc>
          <w:tcPr>
            <w:tcW w:w="10720" w:type="dxa"/>
            <w:vAlign w:val="bottom"/>
            <w:tcBorders>
              <w:bottom w:val="single" w:sz="8" w:color="0000FF"/>
            </w:tcBorders>
            <w:gridSpan w:val="37"/>
          </w:tcPr>
          <w:p>
            <w:pPr>
              <w:spacing w:after="0"/>
              <w:rPr>
                <w:rFonts w:ascii="Times New Roman" w:cs="Times New Roman" w:eastAsia="Times New Roman" w:hAnsi="Times New Roman"/>
                <w:sz w:val="14"/>
                <w:szCs w:val="14"/>
                <w:color w:val="0000FF"/>
              </w:rPr>
            </w:pPr>
            <w:hyperlink r:id="rId273">
              <w:r>
                <w:rPr>
                  <w:rFonts w:ascii="Times New Roman" w:cs="Times New Roman" w:eastAsia="Times New Roman" w:hAnsi="Times New Roman"/>
                  <w:sz w:val="14"/>
                  <w:szCs w:val="14"/>
                  <w:color w:val="0000FF"/>
                </w:rPr>
                <w:t>Amended and Restated Fidelity National Financial, Inc. 2005 Omnibus Incentive Plan (incorporated by reference to Annex A to the Registrant’s Schedule 14A filed on April 29, 2016)</w:t>
              </w:r>
            </w:hyperlink>
          </w:p>
        </w:tc>
        <w:tc>
          <w:tcPr>
            <w:tcW w:w="0" w:type="dxa"/>
            <w:vAlign w:val="bottom"/>
          </w:tcPr>
          <w:p>
            <w:pPr>
              <w:spacing w:after="0"/>
              <w:rPr>
                <w:sz w:val="1"/>
                <w:szCs w:val="1"/>
                <w:color w:val="auto"/>
              </w:rPr>
            </w:pPr>
          </w:p>
        </w:tc>
      </w:tr>
      <w:tr>
        <w:trPr>
          <w:trHeight w:val="118"/>
        </w:trPr>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Borders>
              <w:bottom w:val="single" w:sz="8" w:color="0000FF"/>
            </w:tcBorders>
          </w:tcPr>
          <w:p>
            <w:pPr>
              <w:spacing w:after="0" w:line="118" w:lineRule="exact"/>
              <w:rPr>
                <w:rFonts w:ascii="Times New Roman" w:cs="Times New Roman" w:eastAsia="Times New Roman" w:hAnsi="Times New Roman"/>
                <w:sz w:val="13"/>
                <w:szCs w:val="13"/>
                <w:color w:val="0000FF"/>
                <w:w w:val="92"/>
              </w:rPr>
            </w:pPr>
            <w:hyperlink r:id="rId273">
              <w:r>
                <w:rPr>
                  <w:rFonts w:ascii="Times New Roman" w:cs="Times New Roman" w:eastAsia="Times New Roman" w:hAnsi="Times New Roman"/>
                  <w:sz w:val="13"/>
                  <w:szCs w:val="13"/>
                  <w:color w:val="0000FF"/>
                  <w:w w:val="92"/>
                </w:rPr>
                <w:t>(1)</w:t>
              </w:r>
            </w:hyperlink>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7"/>
        </w:trPr>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14"/>
          </w:tcPr>
          <w:p>
            <w:pPr>
              <w:ind w:left="4740"/>
              <w:spacing w:after="0"/>
              <w:rPr>
                <w:sz w:val="20"/>
                <w:szCs w:val="20"/>
                <w:color w:val="auto"/>
              </w:rPr>
            </w:pPr>
            <w:r>
              <w:rPr>
                <w:rFonts w:ascii="Times New Roman" w:cs="Times New Roman" w:eastAsia="Times New Roman" w:hAnsi="Times New Roman"/>
                <w:sz w:val="14"/>
                <w:szCs w:val="14"/>
                <w:color w:val="auto"/>
              </w:rPr>
              <w:t>195</w:t>
            </w: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w:t>
      </w:r>
      <w:r>
        <w:rPr>
          <w:sz w:val="20"/>
          <w:szCs w:val="20"/>
          <w:color w:val="auto"/>
        </w:rPr>
        <w:tab/>
      </w:r>
      <w:hyperlink r:id="rId276">
        <w:r>
          <w:rPr>
            <w:rFonts w:ascii="Times New Roman" w:cs="Times New Roman" w:eastAsia="Times New Roman" w:hAnsi="Times New Roman"/>
            <w:sz w:val="14"/>
            <w:szCs w:val="14"/>
            <w:u w:val="single" w:color="auto"/>
            <w:color w:val="0000FF"/>
          </w:rPr>
          <w:t>Fidelity National Financial, Inc. Amended and Restated 2013 Employee Stock Purchase Plan (incorporated by reference to Exhibit 99.1 to the Registrant's Registration Statement on</w:t>
        </w:r>
      </w:hyperlink>
      <w:r>
        <w:rPr>
          <w:rFonts w:ascii="Times New Roman" w:cs="Times New Roman" w:eastAsia="Times New Roman" w:hAnsi="Times New Roman"/>
          <w:sz w:val="14"/>
          <w:szCs w:val="14"/>
          <w:u w:val="single" w:color="auto"/>
          <w:color w:val="0000FF"/>
        </w:rPr>
        <w:t xml:space="preserve"> </w:t>
      </w:r>
      <w:hyperlink r:id="rId276">
        <w:r>
          <w:rPr>
            <w:rFonts w:ascii="Times New Roman" w:cs="Times New Roman" w:eastAsia="Times New Roman" w:hAnsi="Times New Roman"/>
            <w:sz w:val="14"/>
            <w:szCs w:val="14"/>
            <w:u w:val="single" w:color="auto"/>
            <w:color w:val="0000FF"/>
          </w:rPr>
          <w:t>Form S-8 filed on August 19, 2022) (1)</w:t>
        </w:r>
      </w:hyperlink>
    </w:p>
    <w:p>
      <w:pPr>
        <w:spacing w:after="0" w:line="8" w:lineRule="exact"/>
        <w:rPr>
          <w:sz w:val="20"/>
          <w:szCs w:val="20"/>
          <w:color w:val="auto"/>
        </w:rPr>
      </w:pPr>
    </w:p>
    <w:p>
      <w:pPr>
        <w:ind w:left="26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w:t>
      </w:r>
      <w:r>
        <w:rPr>
          <w:sz w:val="20"/>
          <w:szCs w:val="20"/>
          <w:color w:val="auto"/>
        </w:rPr>
        <w:tab/>
      </w:r>
      <w:hyperlink r:id="rId277">
        <w:r>
          <w:rPr>
            <w:rFonts w:ascii="Times New Roman" w:cs="Times New Roman" w:eastAsia="Times New Roman" w:hAnsi="Times New Roman"/>
            <w:sz w:val="14"/>
            <w:szCs w:val="14"/>
            <w:u w:val="single" w:color="auto"/>
            <w:color w:val="0000FF"/>
          </w:rPr>
          <w:t>Fidelity National Financial, Inc. Annual Incentive Plan (incorporated by reference to Annex B to the Registrant's Schedule 14A filed on April 29, 2016) (1)</w:t>
        </w:r>
      </w:hyperlink>
    </w:p>
    <w:p>
      <w:pPr>
        <w:spacing w:after="0" w:line="23" w:lineRule="exact"/>
        <w:rPr>
          <w:sz w:val="20"/>
          <w:szCs w:val="20"/>
          <w:color w:val="auto"/>
        </w:rPr>
      </w:pPr>
    </w:p>
    <w:p>
      <w:pPr>
        <w:ind w:left="800" w:hanging="524"/>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278">
        <w:r>
          <w:rPr>
            <w:rFonts w:ascii="Times New Roman" w:cs="Times New Roman" w:eastAsia="Times New Roman" w:hAnsi="Times New Roman"/>
            <w:sz w:val="14"/>
            <w:szCs w:val="14"/>
            <w:u w:val="single" w:color="auto"/>
            <w:color w:val="0000FF"/>
          </w:rPr>
          <w:t>Fidelity National Financial, Inc. Deferred Compensation Plan, as amended and restated, effective January 1, 2009 (incorporated by reference to Exhibit 10.18 to the Registrant’s Annual</w:t>
        </w:r>
      </w:hyperlink>
      <w:r>
        <w:rPr>
          <w:rFonts w:ascii="Times New Roman" w:cs="Times New Roman" w:eastAsia="Times New Roman" w:hAnsi="Times New Roman"/>
          <w:sz w:val="14"/>
          <w:szCs w:val="14"/>
          <w:u w:val="single" w:color="auto"/>
          <w:color w:val="0000FF"/>
        </w:rPr>
        <w:t xml:space="preserve"> </w:t>
      </w:r>
      <w:hyperlink r:id="rId278">
        <w:r>
          <w:rPr>
            <w:rFonts w:ascii="Times New Roman" w:cs="Times New Roman" w:eastAsia="Times New Roman" w:hAnsi="Times New Roman"/>
            <w:sz w:val="14"/>
            <w:szCs w:val="14"/>
            <w:u w:val="single" w:color="auto"/>
            <w:color w:val="0000FF"/>
          </w:rPr>
          <w:t>Report on Form 10-K for the year ended December 31, 2008) (1)</w:t>
        </w:r>
      </w:hyperlink>
    </w:p>
    <w:p>
      <w:pPr>
        <w:spacing w:after="0" w:line="7"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279">
        <w:r>
          <w:rPr>
            <w:rFonts w:ascii="Times New Roman" w:cs="Times New Roman" w:eastAsia="Times New Roman" w:hAnsi="Times New Roman"/>
            <w:sz w:val="14"/>
            <w:szCs w:val="14"/>
            <w:u w:val="single" w:color="auto"/>
            <w:color w:val="0000FF"/>
          </w:rPr>
          <w:t>Amended and Restated Employment Agreement between the Registrant and Anthony J. Park, effective as of October 10, 2008 (incorporated by reference to Exhibit 10.11 to</w:t>
        </w:r>
      </w:hyperlink>
      <w:r>
        <w:rPr>
          <w:rFonts w:ascii="Times New Roman" w:cs="Times New Roman" w:eastAsia="Times New Roman" w:hAnsi="Times New Roman"/>
          <w:sz w:val="14"/>
          <w:szCs w:val="14"/>
          <w:u w:val="single" w:color="auto"/>
          <w:color w:val="0000FF"/>
        </w:rPr>
        <w:t xml:space="preserve"> </w:t>
      </w:r>
      <w:hyperlink r:id="rId279">
        <w:r>
          <w:rPr>
            <w:rFonts w:ascii="Times New Roman" w:cs="Times New Roman" w:eastAsia="Times New Roman" w:hAnsi="Times New Roman"/>
            <w:sz w:val="14"/>
            <w:szCs w:val="14"/>
            <w:u w:val="single" w:color="auto"/>
            <w:color w:val="0000FF"/>
          </w:rPr>
          <w:t>Registrant’s Annual Report on Form 10-K for the year ended December 31, 2008)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280">
        <w:r>
          <w:rPr>
            <w:rFonts w:ascii="Times New Roman" w:cs="Times New Roman" w:eastAsia="Times New Roman" w:hAnsi="Times New Roman"/>
            <w:sz w:val="14"/>
            <w:szCs w:val="14"/>
            <w:u w:val="single" w:color="auto"/>
            <w:color w:val="0000FF"/>
          </w:rPr>
          <w:t>Amendment effective February 4, 2010 to Amended and Restated Employment Agreement between the Registrant and Anthony J. Park, effective as of October 10, 2008 (incorporated</w:t>
        </w:r>
      </w:hyperlink>
      <w:r>
        <w:rPr>
          <w:rFonts w:ascii="Times New Roman" w:cs="Times New Roman" w:eastAsia="Times New Roman" w:hAnsi="Times New Roman"/>
          <w:sz w:val="14"/>
          <w:szCs w:val="14"/>
          <w:u w:val="single" w:color="auto"/>
          <w:color w:val="0000FF"/>
        </w:rPr>
        <w:t xml:space="preserve"> </w:t>
      </w:r>
      <w:hyperlink r:id="rId280">
        <w:r>
          <w:rPr>
            <w:rFonts w:ascii="Times New Roman" w:cs="Times New Roman" w:eastAsia="Times New Roman" w:hAnsi="Times New Roman"/>
            <w:sz w:val="14"/>
            <w:szCs w:val="14"/>
            <w:u w:val="single" w:color="auto"/>
            <w:color w:val="0000FF"/>
          </w:rPr>
          <w:t>by reference to Exhibit 10.13 to the Registrant's Annual Report on Form 10-K for the year ended December 31, 2009)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281">
        <w:r>
          <w:rPr>
            <w:rFonts w:ascii="Times New Roman" w:cs="Times New Roman" w:eastAsia="Times New Roman" w:hAnsi="Times New Roman"/>
            <w:sz w:val="14"/>
            <w:szCs w:val="14"/>
            <w:u w:val="single" w:color="auto"/>
            <w:color w:val="0000FF"/>
          </w:rPr>
          <w:t>Director Services Agreement between Fidelity National Financial, Inc. and William P. Foley, II (incorporated by reference to Exhibit 10.27 to Registrant's Annual Report on Form 10-K</w:t>
        </w:r>
      </w:hyperlink>
      <w:r>
        <w:rPr>
          <w:rFonts w:ascii="Times New Roman" w:cs="Times New Roman" w:eastAsia="Times New Roman" w:hAnsi="Times New Roman"/>
          <w:sz w:val="14"/>
          <w:szCs w:val="14"/>
          <w:u w:val="single" w:color="auto"/>
          <w:color w:val="0000FF"/>
        </w:rPr>
        <w:t xml:space="preserve"> </w:t>
      </w:r>
      <w:hyperlink r:id="rId281">
        <w:r>
          <w:rPr>
            <w:rFonts w:ascii="Times New Roman" w:cs="Times New Roman" w:eastAsia="Times New Roman" w:hAnsi="Times New Roman"/>
            <w:sz w:val="14"/>
            <w:szCs w:val="14"/>
            <w:u w:val="single" w:color="auto"/>
            <w:color w:val="0000FF"/>
          </w:rPr>
          <w:t>for the year ended December 31, 2015) (1)</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282">
        <w:r>
          <w:rPr>
            <w:rFonts w:ascii="Times New Roman" w:cs="Times New Roman" w:eastAsia="Times New Roman" w:hAnsi="Times New Roman"/>
            <w:sz w:val="14"/>
            <w:szCs w:val="14"/>
            <w:u w:val="single" w:color="auto"/>
            <w:color w:val="0000FF"/>
          </w:rPr>
          <w:t>Amended and Restated Employment Agreement between the Registrant and Raymond R. Quirk, effective as of February 1, 2022 (incorporated by reference to Exhibit 10.2 to the</w:t>
        </w:r>
      </w:hyperlink>
      <w:r>
        <w:rPr>
          <w:rFonts w:ascii="Times New Roman" w:cs="Times New Roman" w:eastAsia="Times New Roman" w:hAnsi="Times New Roman"/>
          <w:sz w:val="14"/>
          <w:szCs w:val="14"/>
          <w:u w:val="single" w:color="auto"/>
          <w:color w:val="0000FF"/>
        </w:rPr>
        <w:t xml:space="preserve"> </w:t>
      </w:r>
      <w:hyperlink r:id="rId282">
        <w:r>
          <w:rPr>
            <w:rFonts w:ascii="Times New Roman" w:cs="Times New Roman" w:eastAsia="Times New Roman" w:hAnsi="Times New Roman"/>
            <w:sz w:val="14"/>
            <w:szCs w:val="14"/>
            <w:u w:val="single" w:color="auto"/>
            <w:color w:val="0000FF"/>
          </w:rPr>
          <w:t>Registrant’s Current Report on Form 8-K filed on February 17, 2022)</w:t>
        </w:r>
      </w:hyperlink>
    </w:p>
    <w:p>
      <w:pPr>
        <w:spacing w:after="0" w:line="8" w:lineRule="exact"/>
        <w:rPr>
          <w:sz w:val="20"/>
          <w:szCs w:val="20"/>
          <w:color w:val="auto"/>
        </w:rPr>
      </w:pPr>
    </w:p>
    <w:p>
      <w:pPr>
        <w:ind w:left="800" w:hanging="524"/>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10.9</w:t>
      </w:r>
      <w:r>
        <w:rPr>
          <w:sz w:val="20"/>
          <w:szCs w:val="20"/>
          <w:color w:val="auto"/>
        </w:rPr>
        <w:tab/>
      </w:r>
      <w:hyperlink r:id="rId283">
        <w:r>
          <w:rPr>
            <w:rFonts w:ascii="Times New Roman" w:cs="Times New Roman" w:eastAsia="Times New Roman" w:hAnsi="Times New Roman"/>
            <w:sz w:val="14"/>
            <w:szCs w:val="14"/>
            <w:u w:val="single" w:color="auto"/>
            <w:color w:val="0000FF"/>
          </w:rPr>
          <w:t>Amended and Restated Employment Agreement between the Registrant and Michael L. Gravelle, effective as of January 1, 2010 (incorporated by reference to Exhibit 10.22 to</w:t>
        </w:r>
      </w:hyperlink>
      <w:r>
        <w:rPr>
          <w:rFonts w:ascii="Times New Roman" w:cs="Times New Roman" w:eastAsia="Times New Roman" w:hAnsi="Times New Roman"/>
          <w:sz w:val="14"/>
          <w:szCs w:val="14"/>
          <w:u w:val="single" w:color="auto"/>
          <w:color w:val="0000FF"/>
        </w:rPr>
        <w:t xml:space="preserve"> </w:t>
      </w:r>
      <w:hyperlink r:id="rId283">
        <w:r>
          <w:rPr>
            <w:rFonts w:ascii="Times New Roman" w:cs="Times New Roman" w:eastAsia="Times New Roman" w:hAnsi="Times New Roman"/>
            <w:sz w:val="14"/>
            <w:szCs w:val="14"/>
            <w:u w:val="single" w:color="auto"/>
            <w:color w:val="0000FF"/>
          </w:rPr>
          <w:t>Registrant's Annual Report on Form 10-K for the year ended December 31, 2010)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10.10</w:t>
      </w:r>
      <w:r>
        <w:rPr>
          <w:sz w:val="20"/>
          <w:szCs w:val="20"/>
          <w:color w:val="auto"/>
        </w:rPr>
        <w:tab/>
      </w:r>
      <w:hyperlink r:id="rId284">
        <w:r>
          <w:rPr>
            <w:rFonts w:ascii="Times New Roman" w:cs="Times New Roman" w:eastAsia="Times New Roman" w:hAnsi="Times New Roman"/>
            <w:sz w:val="14"/>
            <w:szCs w:val="14"/>
            <w:u w:val="single" w:color="auto"/>
            <w:color w:val="0000FF"/>
          </w:rPr>
          <w:t>Amendment No. 1 to Amended and Restated Employment Agreement between the Registrant and Michael L. Gravelle, effective as of January 30, 2013 (incorporated by reference to</w:t>
        </w:r>
      </w:hyperlink>
      <w:r>
        <w:rPr>
          <w:rFonts w:ascii="Times New Roman" w:cs="Times New Roman" w:eastAsia="Times New Roman" w:hAnsi="Times New Roman"/>
          <w:sz w:val="14"/>
          <w:szCs w:val="14"/>
          <w:u w:val="single" w:color="auto"/>
          <w:color w:val="0000FF"/>
        </w:rPr>
        <w:t xml:space="preserve"> </w:t>
      </w:r>
      <w:hyperlink r:id="rId284">
        <w:r>
          <w:rPr>
            <w:rFonts w:ascii="Times New Roman" w:cs="Times New Roman" w:eastAsia="Times New Roman" w:hAnsi="Times New Roman"/>
            <w:sz w:val="14"/>
            <w:szCs w:val="14"/>
            <w:u w:val="single" w:color="auto"/>
            <w:color w:val="0000FF"/>
          </w:rPr>
          <w:t>Exhibit 10.22 to the Registrant's Annual Report on Form 10-K for the year ended December 31, 2012) (1)</w:t>
        </w:r>
      </w:hyperlink>
    </w:p>
    <w:p>
      <w:pPr>
        <w:spacing w:after="0" w:line="8" w:lineRule="exact"/>
        <w:rPr>
          <w:sz w:val="20"/>
          <w:szCs w:val="20"/>
          <w:color w:val="auto"/>
        </w:rPr>
      </w:pPr>
    </w:p>
    <w:p>
      <w:pPr>
        <w:ind w:left="800" w:hanging="557"/>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10.11</w:t>
      </w:r>
      <w:r>
        <w:rPr>
          <w:sz w:val="20"/>
          <w:szCs w:val="20"/>
          <w:color w:val="auto"/>
        </w:rPr>
        <w:tab/>
      </w:r>
      <w:hyperlink r:id="rId285">
        <w:r>
          <w:rPr>
            <w:rFonts w:ascii="Times New Roman" w:cs="Times New Roman" w:eastAsia="Times New Roman" w:hAnsi="Times New Roman"/>
            <w:sz w:val="14"/>
            <w:szCs w:val="14"/>
            <w:u w:val="single" w:color="auto"/>
            <w:color w:val="0000FF"/>
          </w:rPr>
          <w:t>Amendment No. 2 to Amended and Restated Employment Agreement between the Registrant and Michael L. Gravelle, effective as of March 1, 2015 (incorporated by reference to</w:t>
        </w:r>
      </w:hyperlink>
      <w:r>
        <w:rPr>
          <w:rFonts w:ascii="Times New Roman" w:cs="Times New Roman" w:eastAsia="Times New Roman" w:hAnsi="Times New Roman"/>
          <w:sz w:val="14"/>
          <w:szCs w:val="14"/>
          <w:u w:val="single" w:color="auto"/>
          <w:color w:val="0000FF"/>
        </w:rPr>
        <w:t xml:space="preserve"> </w:t>
      </w:r>
      <w:hyperlink r:id="rId285">
        <w:r>
          <w:rPr>
            <w:rFonts w:ascii="Times New Roman" w:cs="Times New Roman" w:eastAsia="Times New Roman" w:hAnsi="Times New Roman"/>
            <w:sz w:val="14"/>
            <w:szCs w:val="14"/>
            <w:u w:val="single" w:color="auto"/>
            <w:color w:val="0000FF"/>
          </w:rPr>
          <w:t>Exhibit 10.2 to the Registrant’s Quarterly Report on Form 10-Q for the quarter ended March 31, 2015)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10.12</w:t>
      </w:r>
      <w:r>
        <w:rPr>
          <w:sz w:val="20"/>
          <w:szCs w:val="20"/>
          <w:color w:val="auto"/>
        </w:rPr>
        <w:tab/>
      </w:r>
      <w:hyperlink r:id="rId286">
        <w:r>
          <w:rPr>
            <w:rFonts w:ascii="Times New Roman" w:cs="Times New Roman" w:eastAsia="Times New Roman" w:hAnsi="Times New Roman"/>
            <w:sz w:val="14"/>
            <w:szCs w:val="14"/>
            <w:u w:val="single" w:color="auto"/>
            <w:color w:val="0000FF"/>
          </w:rPr>
          <w:t>Amended and Restated Employment Agreement between the Registrant and Peter T. Sadowski, effective as of February 4, 2010 (incorporated by reference to Exhibit 10.26 to the</w:t>
        </w:r>
      </w:hyperlink>
      <w:r>
        <w:rPr>
          <w:rFonts w:ascii="Times New Roman" w:cs="Times New Roman" w:eastAsia="Times New Roman" w:hAnsi="Times New Roman"/>
          <w:sz w:val="14"/>
          <w:szCs w:val="14"/>
          <w:u w:val="single" w:color="auto"/>
          <w:color w:val="0000FF"/>
        </w:rPr>
        <w:t xml:space="preserve"> </w:t>
      </w:r>
      <w:hyperlink r:id="rId286">
        <w:r>
          <w:rPr>
            <w:rFonts w:ascii="Times New Roman" w:cs="Times New Roman" w:eastAsia="Times New Roman" w:hAnsi="Times New Roman"/>
            <w:sz w:val="14"/>
            <w:szCs w:val="14"/>
            <w:u w:val="single" w:color="auto"/>
            <w:color w:val="0000FF"/>
          </w:rPr>
          <w:t>Registrant's Annual Report on Form 10-K for the year ended December 31, 2012) (1)</w:t>
        </w:r>
      </w:hyperlink>
    </w:p>
    <w:p>
      <w:pPr>
        <w:spacing w:after="0" w:line="8"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10.13</w:t>
      </w:r>
      <w:r>
        <w:rPr>
          <w:sz w:val="20"/>
          <w:szCs w:val="20"/>
          <w:color w:val="auto"/>
        </w:rPr>
        <w:tab/>
      </w:r>
      <w:hyperlink r:id="rId287">
        <w:r>
          <w:rPr>
            <w:rFonts w:ascii="Times New Roman" w:cs="Times New Roman" w:eastAsia="Times New Roman" w:hAnsi="Times New Roman"/>
            <w:sz w:val="14"/>
            <w:szCs w:val="14"/>
            <w:u w:val="single" w:color="auto"/>
            <w:color w:val="0000FF"/>
          </w:rPr>
          <w:t>ServiceLink Holdings, LLC 2013 Management Incentive Plan (incorporated by reference to Exhibit 10.2 to the Registrant’s Current Report on Form 8-K filed on January 15, 2014)(1)</w:t>
        </w:r>
      </w:hyperlink>
    </w:p>
    <w:p>
      <w:pPr>
        <w:spacing w:after="0" w:line="23"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10.14</w:t>
      </w:r>
      <w:r>
        <w:rPr>
          <w:sz w:val="20"/>
          <w:szCs w:val="20"/>
          <w:color w:val="auto"/>
        </w:rPr>
        <w:tab/>
      </w:r>
      <w:hyperlink r:id="rId288">
        <w:r>
          <w:rPr>
            <w:rFonts w:ascii="Times New Roman" w:cs="Times New Roman" w:eastAsia="Times New Roman" w:hAnsi="Times New Roman"/>
            <w:sz w:val="14"/>
            <w:szCs w:val="14"/>
            <w:u w:val="single" w:color="auto"/>
            <w:color w:val="0000FF"/>
          </w:rPr>
          <w:t>Form of ServiceLink Holdings, LLC Unit Grant Agreement (incorporated by reference to Exhibit 10.4 to the Registrant's Current Report on Form 8-K filed on January 15, 2014)(1)</w:t>
        </w:r>
      </w:hyperlink>
    </w:p>
    <w:p>
      <w:pPr>
        <w:spacing w:after="0" w:line="19" w:lineRule="exact"/>
        <w:rPr>
          <w:sz w:val="20"/>
          <w:szCs w:val="20"/>
          <w:color w:val="auto"/>
        </w:rPr>
      </w:pPr>
    </w:p>
    <w:p>
      <w:pPr>
        <w:ind w:left="800" w:hanging="559"/>
        <w:spacing w:after="0" w:line="237"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10.15</w:t>
      </w:r>
      <w:r>
        <w:rPr>
          <w:sz w:val="20"/>
          <w:szCs w:val="20"/>
          <w:color w:val="auto"/>
        </w:rPr>
        <w:tab/>
      </w:r>
      <w:hyperlink r:id="rId289">
        <w:r>
          <w:rPr>
            <w:rFonts w:ascii="Times New Roman" w:cs="Times New Roman" w:eastAsia="Times New Roman" w:hAnsi="Times New Roman"/>
            <w:sz w:val="14"/>
            <w:szCs w:val="14"/>
            <w:u w:val="single" w:color="auto"/>
            <w:color w:val="0000FF"/>
          </w:rPr>
          <w:t>Amendment effective May 3, 2016 to Director Services Agreement between the Registrant and William P. Foley II (incorporated by reference to Exhibit 10.1 to Registrant's Quarterly</w:t>
        </w:r>
      </w:hyperlink>
      <w:r>
        <w:rPr>
          <w:rFonts w:ascii="Times New Roman" w:cs="Times New Roman" w:eastAsia="Times New Roman" w:hAnsi="Times New Roman"/>
          <w:sz w:val="14"/>
          <w:szCs w:val="14"/>
          <w:u w:val="single" w:color="auto"/>
          <w:color w:val="0000FF"/>
        </w:rPr>
        <w:t xml:space="preserve"> </w:t>
      </w:r>
      <w:hyperlink r:id="rId289">
        <w:r>
          <w:rPr>
            <w:rFonts w:ascii="Times New Roman" w:cs="Times New Roman" w:eastAsia="Times New Roman" w:hAnsi="Times New Roman"/>
            <w:sz w:val="14"/>
            <w:szCs w:val="14"/>
            <w:u w:val="single" w:color="auto"/>
            <w:color w:val="0000FF"/>
          </w:rPr>
          <w:t>Report on Form 10-Q for the quarter ended June 30, 2016) (1)</w:t>
        </w:r>
      </w:hyperlink>
    </w:p>
    <w:p>
      <w:pPr>
        <w:spacing w:after="0" w:line="7" w:lineRule="exact"/>
        <w:rPr>
          <w:sz w:val="20"/>
          <w:szCs w:val="20"/>
          <w:color w:val="auto"/>
        </w:rPr>
      </w:pPr>
    </w:p>
    <w:p>
      <w:pPr>
        <w:ind w:left="800" w:right="60" w:hanging="559"/>
        <w:spacing w:after="0" w:line="271"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10.16</w:t>
      </w:r>
      <w:r>
        <w:rPr>
          <w:sz w:val="20"/>
          <w:szCs w:val="20"/>
          <w:color w:val="auto"/>
        </w:rPr>
        <w:tab/>
      </w:r>
      <w:hyperlink r:id="rId290">
        <w:r>
          <w:rPr>
            <w:rFonts w:ascii="Times New Roman" w:cs="Times New Roman" w:eastAsia="Times New Roman" w:hAnsi="Times New Roman"/>
            <w:sz w:val="14"/>
            <w:szCs w:val="14"/>
            <w:u w:val="single" w:color="auto"/>
            <w:color w:val="0000FF"/>
          </w:rPr>
          <w:t>Letter agreement between Fidelity National Financial, Inc. and William P. Foley, II dated May 28, 2020 (incorporated by reference to Exhibit 99.1 to the Registrant’s Current Report on</w:t>
        </w:r>
      </w:hyperlink>
      <w:r>
        <w:rPr>
          <w:rFonts w:ascii="Times New Roman" w:cs="Times New Roman" w:eastAsia="Times New Roman" w:hAnsi="Times New Roman"/>
          <w:sz w:val="14"/>
          <w:szCs w:val="14"/>
          <w:u w:val="single" w:color="auto"/>
          <w:color w:val="0000FF"/>
        </w:rPr>
        <w:t xml:space="preserve"> </w:t>
      </w:r>
      <w:hyperlink r:id="rId290">
        <w:r>
          <w:rPr>
            <w:rFonts w:ascii="Times New Roman" w:cs="Times New Roman" w:eastAsia="Times New Roman" w:hAnsi="Times New Roman"/>
            <w:sz w:val="14"/>
            <w:szCs w:val="14"/>
            <w:u w:val="single" w:color="auto"/>
            <w:color w:val="0000FF"/>
          </w:rPr>
          <w:t>Form 8-K filed on May 29, 2020)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10.17</w:t>
      </w:r>
      <w:r>
        <w:rPr>
          <w:sz w:val="20"/>
          <w:szCs w:val="20"/>
          <w:color w:val="auto"/>
        </w:rPr>
        <w:tab/>
      </w:r>
      <w:hyperlink r:id="rId291">
        <w:r>
          <w:rPr>
            <w:rFonts w:ascii="Times New Roman" w:cs="Times New Roman" w:eastAsia="Times New Roman" w:hAnsi="Times New Roman"/>
            <w:sz w:val="14"/>
            <w:szCs w:val="14"/>
            <w:u w:val="single" w:color="auto"/>
            <w:color w:val="0000FF"/>
          </w:rPr>
          <w:t>Amendment effective May 3, 2016 to Amended and Restated Employment Agreement between the Registrant and Anthony J. Park (incorporated by reference to Exhibit 10.4 to the</w:t>
        </w:r>
      </w:hyperlink>
      <w:r>
        <w:rPr>
          <w:rFonts w:ascii="Times New Roman" w:cs="Times New Roman" w:eastAsia="Times New Roman" w:hAnsi="Times New Roman"/>
          <w:sz w:val="14"/>
          <w:szCs w:val="14"/>
          <w:u w:val="single" w:color="auto"/>
          <w:color w:val="0000FF"/>
        </w:rPr>
        <w:t xml:space="preserve"> </w:t>
      </w:r>
      <w:hyperlink r:id="rId291">
        <w:r>
          <w:rPr>
            <w:rFonts w:ascii="Times New Roman" w:cs="Times New Roman" w:eastAsia="Times New Roman" w:hAnsi="Times New Roman"/>
            <w:sz w:val="14"/>
            <w:szCs w:val="14"/>
            <w:u w:val="single" w:color="auto"/>
            <w:color w:val="0000FF"/>
          </w:rPr>
          <w:t>Registrant's Quarterly Report on Form 10-Q for the quarter ended June 30, 2016)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10.18</w:t>
      </w:r>
      <w:r>
        <w:rPr>
          <w:sz w:val="20"/>
          <w:szCs w:val="20"/>
          <w:color w:val="auto"/>
        </w:rPr>
        <w:tab/>
      </w:r>
      <w:hyperlink r:id="rId292">
        <w:r>
          <w:rPr>
            <w:rFonts w:ascii="Times New Roman" w:cs="Times New Roman" w:eastAsia="Times New Roman" w:hAnsi="Times New Roman"/>
            <w:sz w:val="14"/>
            <w:szCs w:val="14"/>
            <w:u w:val="single" w:color="auto"/>
            <w:color w:val="0000FF"/>
          </w:rPr>
          <w:t>Amendment effective May 3, 2016 to Amended and Restated Employment Agreement between the Registrant and Michael L. Gravelle (incorporated by reference to Exhibit 10.5 to the</w:t>
        </w:r>
      </w:hyperlink>
      <w:r>
        <w:rPr>
          <w:rFonts w:ascii="Times New Roman" w:cs="Times New Roman" w:eastAsia="Times New Roman" w:hAnsi="Times New Roman"/>
          <w:sz w:val="14"/>
          <w:szCs w:val="14"/>
          <w:u w:val="single" w:color="auto"/>
          <w:color w:val="0000FF"/>
        </w:rPr>
        <w:t xml:space="preserve"> </w:t>
      </w:r>
      <w:hyperlink r:id="rId292">
        <w:r>
          <w:rPr>
            <w:rFonts w:ascii="Times New Roman" w:cs="Times New Roman" w:eastAsia="Times New Roman" w:hAnsi="Times New Roman"/>
            <w:sz w:val="14"/>
            <w:szCs w:val="14"/>
            <w:u w:val="single" w:color="auto"/>
            <w:color w:val="0000FF"/>
          </w:rPr>
          <w:t>Registrant's Quarterly Report on Form 10-Q for the quarter ended June 30, 2016)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10.19</w:t>
      </w:r>
      <w:r>
        <w:rPr>
          <w:sz w:val="20"/>
          <w:szCs w:val="20"/>
          <w:color w:val="auto"/>
        </w:rPr>
        <w:tab/>
      </w:r>
      <w:hyperlink r:id="rId293">
        <w:r>
          <w:rPr>
            <w:rFonts w:ascii="Times New Roman" w:cs="Times New Roman" w:eastAsia="Times New Roman" w:hAnsi="Times New Roman"/>
            <w:sz w:val="14"/>
            <w:szCs w:val="14"/>
            <w:u w:val="single" w:color="auto"/>
            <w:color w:val="0000FF"/>
          </w:rPr>
          <w:t>Amendment effective May 3, 2016 to Amended and Restated Employment Agreement between the Registrant and Peter T. Sadowski (incorporated by reference to Exhibit 10.6 to the</w:t>
        </w:r>
      </w:hyperlink>
      <w:r>
        <w:rPr>
          <w:rFonts w:ascii="Times New Roman" w:cs="Times New Roman" w:eastAsia="Times New Roman" w:hAnsi="Times New Roman"/>
          <w:sz w:val="14"/>
          <w:szCs w:val="14"/>
          <w:u w:val="single" w:color="auto"/>
          <w:color w:val="0000FF"/>
        </w:rPr>
        <w:t xml:space="preserve"> </w:t>
      </w:r>
      <w:hyperlink r:id="rId293">
        <w:r>
          <w:rPr>
            <w:rFonts w:ascii="Times New Roman" w:cs="Times New Roman" w:eastAsia="Times New Roman" w:hAnsi="Times New Roman"/>
            <w:sz w:val="14"/>
            <w:szCs w:val="14"/>
            <w:u w:val="single" w:color="auto"/>
            <w:color w:val="0000FF"/>
          </w:rPr>
          <w:t>Registrant's Quarterly Report on Form 10-Q for the quarter ended June 30, 2016)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10.20</w:t>
      </w:r>
      <w:r>
        <w:rPr>
          <w:sz w:val="20"/>
          <w:szCs w:val="20"/>
          <w:color w:val="auto"/>
        </w:rPr>
        <w:tab/>
      </w:r>
      <w:hyperlink r:id="rId294">
        <w:r>
          <w:rPr>
            <w:rFonts w:ascii="Times New Roman" w:cs="Times New Roman" w:eastAsia="Times New Roman" w:hAnsi="Times New Roman"/>
            <w:sz w:val="14"/>
            <w:szCs w:val="14"/>
            <w:u w:val="single" w:color="auto"/>
            <w:color w:val="0000FF"/>
          </w:rPr>
          <w:t>Amended and Restated Employment Agreement between the Registrant and Michael Nolan, effective as of February 1, 2022 (incorporated by reference to Exhibit 10.1 to the</w:t>
        </w:r>
      </w:hyperlink>
      <w:r>
        <w:rPr>
          <w:rFonts w:ascii="Times New Roman" w:cs="Times New Roman" w:eastAsia="Times New Roman" w:hAnsi="Times New Roman"/>
          <w:sz w:val="14"/>
          <w:szCs w:val="14"/>
          <w:u w:val="single" w:color="auto"/>
          <w:color w:val="0000FF"/>
        </w:rPr>
        <w:t xml:space="preserve"> </w:t>
      </w:r>
      <w:hyperlink r:id="rId294">
        <w:r>
          <w:rPr>
            <w:rFonts w:ascii="Times New Roman" w:cs="Times New Roman" w:eastAsia="Times New Roman" w:hAnsi="Times New Roman"/>
            <w:sz w:val="14"/>
            <w:szCs w:val="14"/>
            <w:u w:val="single" w:color="auto"/>
            <w:color w:val="0000FF"/>
          </w:rPr>
          <w:t>Registrant's Current Report on Form 8-K filed on February 17, 2022)</w:t>
        </w:r>
      </w:hyperlink>
    </w:p>
    <w:p>
      <w:pPr>
        <w:spacing w:after="0" w:line="8" w:lineRule="exact"/>
        <w:rPr>
          <w:sz w:val="20"/>
          <w:szCs w:val="20"/>
          <w:color w:val="auto"/>
        </w:rPr>
      </w:pPr>
    </w:p>
    <w:p>
      <w:pPr>
        <w:jc w:val="center"/>
        <w:ind w:left="540"/>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10.21    </w:t>
      </w:r>
      <w:hyperlink r:id="rId295">
        <w:r>
          <w:rPr>
            <w:rFonts w:ascii="Times New Roman" w:cs="Times New Roman" w:eastAsia="Times New Roman" w:hAnsi="Times New Roman"/>
            <w:sz w:val="14"/>
            <w:szCs w:val="14"/>
            <w:u w:val="single" w:color="auto"/>
            <w:color w:val="0000FF"/>
          </w:rPr>
          <w:t>Form of Notice of Restricted Stock Grant and FNF Employee Restricted Stock Award Agreement under Amended and Restated Fidelity National Financial, Inc. 2005 Omnibus</w:t>
        </w:r>
      </w:hyperlink>
      <w:r>
        <w:rPr>
          <w:rFonts w:ascii="Times New Roman" w:cs="Times New Roman" w:eastAsia="Times New Roman" w:hAnsi="Times New Roman"/>
          <w:sz w:val="14"/>
          <w:szCs w:val="14"/>
          <w:color w:val="auto"/>
        </w:rPr>
        <w:t xml:space="preserve"> </w:t>
      </w:r>
      <w:hyperlink r:id="rId295">
        <w:r>
          <w:rPr>
            <w:rFonts w:ascii="Times New Roman" w:cs="Times New Roman" w:eastAsia="Times New Roman" w:hAnsi="Times New Roman"/>
            <w:sz w:val="14"/>
            <w:szCs w:val="14"/>
            <w:u w:val="single" w:color="auto"/>
            <w:color w:val="0000FF"/>
          </w:rPr>
          <w:t>Incentive Plan for November 2023 Awards (incorporated by reference to Exhibit 10.24 to the Registrant's Annual Report on Form 10-K for the year ended December 31, 2023)</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10.22</w:t>
      </w:r>
      <w:r>
        <w:rPr>
          <w:sz w:val="20"/>
          <w:szCs w:val="20"/>
          <w:color w:val="auto"/>
        </w:rPr>
        <w:tab/>
      </w:r>
      <w:hyperlink r:id="rId297">
        <w:r>
          <w:rPr>
            <w:rFonts w:ascii="Times New Roman" w:cs="Times New Roman" w:eastAsia="Times New Roman" w:hAnsi="Times New Roman"/>
            <w:sz w:val="14"/>
            <w:szCs w:val="14"/>
            <w:u w:val="single" w:color="auto"/>
            <w:color w:val="0000FF"/>
          </w:rPr>
          <w:t>Form of Notice of Restricted Stock Grant and FNF Director Restricted Stock Award Agreement under Amended and Restated Fidelity National Financial, Inc. 2005 Omnibus Incentive</w:t>
        </w:r>
      </w:hyperlink>
      <w:r>
        <w:rPr>
          <w:rFonts w:ascii="Times New Roman" w:cs="Times New Roman" w:eastAsia="Times New Roman" w:hAnsi="Times New Roman"/>
          <w:sz w:val="14"/>
          <w:szCs w:val="14"/>
          <w:u w:val="single" w:color="auto"/>
          <w:color w:val="0000FF"/>
        </w:rPr>
        <w:t xml:space="preserve"> </w:t>
      </w:r>
      <w:hyperlink r:id="rId297">
        <w:r>
          <w:rPr>
            <w:rFonts w:ascii="Times New Roman" w:cs="Times New Roman" w:eastAsia="Times New Roman" w:hAnsi="Times New Roman"/>
            <w:sz w:val="14"/>
            <w:szCs w:val="14"/>
            <w:u w:val="single" w:color="auto"/>
            <w:color w:val="0000FF"/>
          </w:rPr>
          <w:t>Plan for November 2023 Awards (incorporated by reference to Exhibit 10.24 to the Registrant's Annual Report on Form 10-K for the year ended December 31, 2024)</w:t>
        </w:r>
      </w:hyperlink>
    </w:p>
    <w:p>
      <w:pPr>
        <w:spacing w:after="0" w:line="8" w:lineRule="exact"/>
        <w:rPr>
          <w:sz w:val="20"/>
          <w:szCs w:val="20"/>
          <w:color w:val="auto"/>
        </w:rPr>
      </w:pPr>
    </w:p>
    <w:p>
      <w:pPr>
        <w:jc w:val="center"/>
        <w:ind w:left="540"/>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10.23    </w:t>
      </w:r>
      <w:hyperlink r:id="rId298">
        <w:r>
          <w:rPr>
            <w:rFonts w:ascii="Times New Roman" w:cs="Times New Roman" w:eastAsia="Times New Roman" w:hAnsi="Times New Roman"/>
            <w:sz w:val="14"/>
            <w:szCs w:val="14"/>
            <w:u w:val="single" w:color="auto"/>
            <w:color w:val="0000FF"/>
          </w:rPr>
          <w:t>Form of Notice of Restricted Stock Grant and FNF Employee Restricted Stock Award Agreement under Amended and Restated Fidelity National Financial, Inc. 2005 Omnibus</w:t>
        </w:r>
      </w:hyperlink>
      <w:r>
        <w:rPr>
          <w:rFonts w:ascii="Times New Roman" w:cs="Times New Roman" w:eastAsia="Times New Roman" w:hAnsi="Times New Roman"/>
          <w:sz w:val="14"/>
          <w:szCs w:val="14"/>
          <w:color w:val="auto"/>
        </w:rPr>
        <w:t xml:space="preserve"> </w:t>
      </w:r>
      <w:hyperlink r:id="rId298">
        <w:r>
          <w:rPr>
            <w:rFonts w:ascii="Times New Roman" w:cs="Times New Roman" w:eastAsia="Times New Roman" w:hAnsi="Times New Roman"/>
            <w:sz w:val="14"/>
            <w:szCs w:val="14"/>
            <w:u w:val="single" w:color="auto"/>
            <w:color w:val="0000FF"/>
          </w:rPr>
          <w:t>Incentive Plan for November 2024 Awards (incorporated by reference to Exhibit 10.25 to the Registrant's Annual Report on Form 10-K for the year ended December 31, 2024)</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10.24</w:t>
      </w:r>
      <w:r>
        <w:rPr>
          <w:sz w:val="20"/>
          <w:szCs w:val="20"/>
          <w:color w:val="auto"/>
        </w:rPr>
        <w:tab/>
      </w:r>
      <w:hyperlink r:id="rId299">
        <w:r>
          <w:rPr>
            <w:rFonts w:ascii="Times New Roman" w:cs="Times New Roman" w:eastAsia="Times New Roman" w:hAnsi="Times New Roman"/>
            <w:sz w:val="14"/>
            <w:szCs w:val="14"/>
            <w:u w:val="single" w:color="auto"/>
            <w:color w:val="0000FF"/>
          </w:rPr>
          <w:t>Form of Notice of Restricted Stock Grant and FNF Director Restricted Stock Award Agreement under Amended and Restated Fidelity National Financial, Inc. 2005 Omnibus Incentive</w:t>
        </w:r>
      </w:hyperlink>
      <w:r>
        <w:rPr>
          <w:rFonts w:ascii="Times New Roman" w:cs="Times New Roman" w:eastAsia="Times New Roman" w:hAnsi="Times New Roman"/>
          <w:sz w:val="14"/>
          <w:szCs w:val="14"/>
          <w:u w:val="single" w:color="auto"/>
          <w:color w:val="0000FF"/>
        </w:rPr>
        <w:t xml:space="preserve"> </w:t>
      </w:r>
      <w:hyperlink r:id="rId299">
        <w:r>
          <w:rPr>
            <w:rFonts w:ascii="Times New Roman" w:cs="Times New Roman" w:eastAsia="Times New Roman" w:hAnsi="Times New Roman"/>
            <w:sz w:val="14"/>
            <w:szCs w:val="14"/>
            <w:u w:val="single" w:color="auto"/>
            <w:color w:val="0000FF"/>
          </w:rPr>
          <w:t>Plan for November 2024 Awards (incorporated by reference to Exhibit 10.26 to the Registrant's Annual Report on Form 10-K for the year ended December 31, 2024)</w:t>
        </w:r>
      </w:hyperlink>
    </w:p>
    <w:p>
      <w:pPr>
        <w:spacing w:after="0" w:line="8" w:lineRule="exact"/>
        <w:rPr>
          <w:sz w:val="20"/>
          <w:szCs w:val="20"/>
          <w:color w:val="auto"/>
        </w:rPr>
      </w:pPr>
    </w:p>
    <w:p>
      <w:pPr>
        <w:jc w:val="right"/>
        <w:ind w:left="240"/>
        <w:spacing w:after="0" w:line="239"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10.25    </w:t>
      </w:r>
      <w:hyperlink r:id="rId300">
        <w:r>
          <w:rPr>
            <w:rFonts w:ascii="Times New Roman" w:cs="Times New Roman" w:eastAsia="Times New Roman" w:hAnsi="Times New Roman"/>
            <w:sz w:val="14"/>
            <w:szCs w:val="14"/>
            <w:u w:val="single" w:color="auto"/>
            <w:color w:val="0000FF"/>
          </w:rPr>
          <w:t>Form of Notice of Restricted Stock Grant and FNF Restricted Stock Award Agreement for William P. Foley, II under Amended and Restated Fidelity National Financial, Inc. 2005</w:t>
        </w:r>
      </w:hyperlink>
      <w:r>
        <w:rPr>
          <w:rFonts w:ascii="Times New Roman" w:cs="Times New Roman" w:eastAsia="Times New Roman" w:hAnsi="Times New Roman"/>
          <w:sz w:val="14"/>
          <w:szCs w:val="14"/>
          <w:color w:val="auto"/>
        </w:rPr>
        <w:t xml:space="preserve"> </w:t>
      </w:r>
      <w:hyperlink r:id="rId300">
        <w:r>
          <w:rPr>
            <w:rFonts w:ascii="Times New Roman" w:cs="Times New Roman" w:eastAsia="Times New Roman" w:hAnsi="Times New Roman"/>
            <w:sz w:val="14"/>
            <w:szCs w:val="14"/>
            <w:u w:val="single" w:color="auto"/>
            <w:color w:val="0000FF"/>
          </w:rPr>
          <w:t>Omnibus Incentive Plan for November 2024 Award (incorporated by reference to Exhibit 10.27 to the Registrant's Annual Report on Form 10-K for the year ended December 31, 2024)</w:t>
        </w:r>
      </w:hyperlink>
    </w:p>
    <w:p>
      <w:pPr>
        <w:spacing w:after="0" w:line="8" w:lineRule="exact"/>
        <w:rPr>
          <w:sz w:val="20"/>
          <w:szCs w:val="20"/>
          <w:color w:val="auto"/>
        </w:rPr>
      </w:pPr>
    </w:p>
    <w:p>
      <w:pPr>
        <w:ind w:left="800" w:right="52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10.26</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Employee Restricted Stock Award Agreement under Amended and Restated Fidelity National Financial, Inc. 2005 Omnibus Incentive Plan for November 2025 Awards</w:t>
      </w:r>
    </w:p>
    <w:p>
      <w:pPr>
        <w:spacing w:after="0" w:line="8" w:lineRule="exact"/>
        <w:rPr>
          <w:sz w:val="20"/>
          <w:szCs w:val="20"/>
          <w:color w:val="auto"/>
        </w:rPr>
      </w:pPr>
    </w:p>
    <w:p>
      <w:pPr>
        <w:ind w:left="800" w:right="60" w:hanging="559"/>
        <w:spacing w:after="0" w:line="239" w:lineRule="auto"/>
        <w:tabs>
          <w:tab w:leader="none" w:pos="780" w:val="left"/>
        </w:tabs>
        <w:rPr>
          <w:sz w:val="20"/>
          <w:szCs w:val="20"/>
          <w:color w:val="auto"/>
        </w:rPr>
      </w:pPr>
      <w:r>
        <w:rPr>
          <w:rFonts w:ascii="Times New Roman" w:cs="Times New Roman" w:eastAsia="Times New Roman" w:hAnsi="Times New Roman"/>
          <w:sz w:val="14"/>
          <w:szCs w:val="14"/>
          <w:color w:val="auto"/>
        </w:rPr>
        <w:t>10.27</w:t>
      </w:r>
      <w:r>
        <w:rPr>
          <w:sz w:val="20"/>
          <w:szCs w:val="20"/>
          <w:color w:val="auto"/>
        </w:rPr>
        <w:tab/>
      </w:r>
      <w:r>
        <w:rPr>
          <w:rFonts w:ascii="Times New Roman" w:cs="Times New Roman" w:eastAsia="Times New Roman" w:hAnsi="Times New Roman"/>
          <w:sz w:val="14"/>
          <w:szCs w:val="14"/>
          <w:u w:val="single" w:color="auto"/>
          <w:color w:val="0000FF"/>
        </w:rPr>
        <w:t>Form of Notice of Restricted Stock Grant and FNF Director Restricted Stock Award Agreement under Amended and Restated Fidelity National Financial, Inc. 2005 Omnibus Incentive Plan for November 2025 Awards</w:t>
      </w:r>
    </w:p>
    <w:p>
      <w:pPr>
        <w:spacing w:after="0" w:line="8" w:lineRule="exact"/>
        <w:rPr>
          <w:sz w:val="20"/>
          <w:szCs w:val="20"/>
          <w:color w:val="auto"/>
        </w:rPr>
      </w:pPr>
    </w:p>
    <w:p>
      <w:pPr>
        <w:ind w:left="800" w:right="22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10.28</w:t>
      </w:r>
      <w:r>
        <w:rPr>
          <w:sz w:val="20"/>
          <w:szCs w:val="20"/>
          <w:color w:val="auto"/>
        </w:rPr>
        <w:tab/>
      </w:r>
      <w:hyperlink r:id="rId301">
        <w:r>
          <w:rPr>
            <w:rFonts w:ascii="Times New Roman" w:cs="Times New Roman" w:eastAsia="Times New Roman" w:hAnsi="Times New Roman"/>
            <w:sz w:val="14"/>
            <w:szCs w:val="14"/>
            <w:u w:val="single" w:color="auto"/>
            <w:color w:val="0000FF"/>
          </w:rPr>
          <w:t>Amendment effective November 1, 2019 to Amended and Restated Employment Agreement between the Registrant and Michael L. Gravelle effective May 3, 2016 (incorporated by</w:t>
        </w:r>
      </w:hyperlink>
      <w:r>
        <w:rPr>
          <w:rFonts w:ascii="Times New Roman" w:cs="Times New Roman" w:eastAsia="Times New Roman" w:hAnsi="Times New Roman"/>
          <w:sz w:val="14"/>
          <w:szCs w:val="14"/>
          <w:u w:val="single" w:color="auto"/>
          <w:color w:val="0000FF"/>
        </w:rPr>
        <w:t xml:space="preserve"> </w:t>
      </w:r>
      <w:hyperlink r:id="rId301">
        <w:r>
          <w:rPr>
            <w:rFonts w:ascii="Times New Roman" w:cs="Times New Roman" w:eastAsia="Times New Roman" w:hAnsi="Times New Roman"/>
            <w:sz w:val="14"/>
            <w:szCs w:val="14"/>
            <w:u w:val="single" w:color="auto"/>
            <w:color w:val="0000FF"/>
          </w:rPr>
          <w:t>reference to Exhibit 10.2 to the Registrant's Quarterly Report on Form 10-Q for the quarter ended September 30, 2019) (1)</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10.29</w:t>
      </w:r>
      <w:r>
        <w:rPr>
          <w:sz w:val="20"/>
          <w:szCs w:val="20"/>
          <w:color w:val="auto"/>
        </w:rPr>
        <w:tab/>
      </w:r>
      <w:hyperlink r:id="rId302">
        <w:r>
          <w:rPr>
            <w:rFonts w:ascii="Times New Roman" w:cs="Times New Roman" w:eastAsia="Times New Roman" w:hAnsi="Times New Roman"/>
            <w:sz w:val="14"/>
            <w:szCs w:val="14"/>
            <w:u w:val="single" w:color="auto"/>
            <w:color w:val="0000FF"/>
          </w:rPr>
          <w:t>FGL Holdings 2017 Omnibus Incentive Plan, as amended and restated through June 1, 2020 (incorporated by reference to Exhibit 99.1 to the Registrant’s Registration Statement on</w:t>
        </w:r>
      </w:hyperlink>
      <w:r>
        <w:rPr>
          <w:rFonts w:ascii="Times New Roman" w:cs="Times New Roman" w:eastAsia="Times New Roman" w:hAnsi="Times New Roman"/>
          <w:sz w:val="14"/>
          <w:szCs w:val="14"/>
          <w:u w:val="single" w:color="auto"/>
          <w:color w:val="0000FF"/>
        </w:rPr>
        <w:t xml:space="preserve"> </w:t>
      </w:r>
      <w:hyperlink r:id="rId302">
        <w:r>
          <w:rPr>
            <w:rFonts w:ascii="Times New Roman" w:cs="Times New Roman" w:eastAsia="Times New Roman" w:hAnsi="Times New Roman"/>
            <w:sz w:val="14"/>
            <w:szCs w:val="14"/>
            <w:u w:val="single" w:color="auto"/>
            <w:color w:val="0000FF"/>
          </w:rPr>
          <w:t>Form S-8 filed on June 1, 2020) (1)</w:t>
        </w:r>
      </w:hyperlink>
    </w:p>
    <w:p>
      <w:pPr>
        <w:spacing w:after="0" w:line="1"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10.30</w:t>
      </w:r>
      <w:r>
        <w:rPr>
          <w:sz w:val="20"/>
          <w:szCs w:val="20"/>
          <w:color w:val="auto"/>
        </w:rPr>
        <w:tab/>
      </w:r>
      <w:hyperlink r:id="rId303">
        <w:r>
          <w:rPr>
            <w:rFonts w:ascii="Times New Roman" w:cs="Times New Roman" w:eastAsia="Times New Roman" w:hAnsi="Times New Roman"/>
            <w:sz w:val="14"/>
            <w:szCs w:val="14"/>
            <w:u w:val="single" w:color="auto"/>
            <w:color w:val="0000FF"/>
          </w:rPr>
          <w:t>F&amp;G Annuities &amp; Life, Inc. 2022 Omnibus Incentive Plan (incorporated by reference to Exhibit 10.4 to F&amp;G Annuities &amp; Life, Inc.’s Current Report on Form 8-K filed on December 1,</w:t>
        </w:r>
      </w:hyperlink>
    </w:p>
    <w:p>
      <w:pPr>
        <w:ind w:left="800"/>
        <w:spacing w:after="0"/>
        <w:rPr>
          <w:rFonts w:ascii="Times New Roman" w:cs="Times New Roman" w:eastAsia="Times New Roman" w:hAnsi="Times New Roman"/>
          <w:sz w:val="14"/>
          <w:szCs w:val="14"/>
          <w:u w:val="single" w:color="auto"/>
          <w:color w:val="0000FF"/>
        </w:rPr>
      </w:pPr>
      <w:hyperlink r:id="rId303">
        <w:r>
          <w:rPr>
            <w:rFonts w:ascii="Times New Roman" w:cs="Times New Roman" w:eastAsia="Times New Roman" w:hAnsi="Times New Roman"/>
            <w:sz w:val="14"/>
            <w:szCs w:val="14"/>
            <w:u w:val="single" w:color="auto"/>
            <w:color w:val="0000FF"/>
          </w:rPr>
          <w:t>2022, SEC File Number 001-41490) (1)</w:t>
        </w:r>
      </w:hyperlink>
    </w:p>
    <w:p>
      <w:pPr>
        <w:spacing w:after="0" w:line="14"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10.31</w:t>
      </w:r>
      <w:r>
        <w:rPr>
          <w:sz w:val="20"/>
          <w:szCs w:val="20"/>
          <w:color w:val="auto"/>
        </w:rPr>
        <w:tab/>
      </w:r>
      <w:hyperlink r:id="rId304">
        <w:r>
          <w:rPr>
            <w:rFonts w:ascii="Times New Roman" w:cs="Times New Roman" w:eastAsia="Times New Roman" w:hAnsi="Times New Roman"/>
            <w:sz w:val="14"/>
            <w:szCs w:val="14"/>
            <w:u w:val="single" w:color="auto"/>
            <w:color w:val="0000FF"/>
          </w:rPr>
          <w:t>Form of Notice of F&amp;G Director Restricted Stock Grant dated November 8, 2024, under F&amp;G 2022 Omnibus Incentive Plan (incorporated by reference to Exhibit 10.31 to the</w:t>
        </w:r>
      </w:hyperlink>
      <w:r>
        <w:rPr>
          <w:rFonts w:ascii="Times New Roman" w:cs="Times New Roman" w:eastAsia="Times New Roman" w:hAnsi="Times New Roman"/>
          <w:sz w:val="14"/>
          <w:szCs w:val="14"/>
          <w:u w:val="single" w:color="auto"/>
          <w:color w:val="0000FF"/>
        </w:rPr>
        <w:t xml:space="preserve"> </w:t>
      </w:r>
      <w:hyperlink r:id="rId304">
        <w:r>
          <w:rPr>
            <w:rFonts w:ascii="Times New Roman" w:cs="Times New Roman" w:eastAsia="Times New Roman" w:hAnsi="Times New Roman"/>
            <w:sz w:val="14"/>
            <w:szCs w:val="14"/>
            <w:u w:val="single" w:color="auto"/>
            <w:color w:val="0000FF"/>
          </w:rPr>
          <w:t>Registrant's Annual Report on Form 10-K for the year ended December 31, 2024).</w:t>
        </w:r>
      </w:hyperlink>
    </w:p>
    <w:p>
      <w:pPr>
        <w:spacing w:after="0" w:line="1"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10.32</w:t>
      </w:r>
      <w:r>
        <w:rPr>
          <w:sz w:val="20"/>
          <w:szCs w:val="20"/>
          <w:color w:val="auto"/>
        </w:rPr>
        <w:tab/>
      </w:r>
      <w:hyperlink r:id="rId305">
        <w:r>
          <w:rPr>
            <w:rFonts w:ascii="Times New Roman" w:cs="Times New Roman" w:eastAsia="Times New Roman" w:hAnsi="Times New Roman"/>
            <w:sz w:val="14"/>
            <w:szCs w:val="14"/>
            <w:u w:val="single" w:color="auto"/>
            <w:color w:val="0000FF"/>
          </w:rPr>
          <w:t>F&amp;G Annuities &amp; Life, Inc. Employee Stock Purchase Plan (incorporated by reference to Exhibit 10.5 to F&amp;G Annuities &amp; Life, Inc.’s Current Report on Form 8-K filed on December</w:t>
        </w:r>
      </w:hyperlink>
    </w:p>
    <w:p>
      <w:pPr>
        <w:ind w:left="800"/>
        <w:spacing w:after="0"/>
        <w:rPr>
          <w:rFonts w:ascii="Times New Roman" w:cs="Times New Roman" w:eastAsia="Times New Roman" w:hAnsi="Times New Roman"/>
          <w:sz w:val="14"/>
          <w:szCs w:val="14"/>
          <w:u w:val="single" w:color="auto"/>
          <w:color w:val="0000FF"/>
        </w:rPr>
      </w:pPr>
      <w:hyperlink r:id="rId305">
        <w:r>
          <w:rPr>
            <w:rFonts w:ascii="Times New Roman" w:cs="Times New Roman" w:eastAsia="Times New Roman" w:hAnsi="Times New Roman"/>
            <w:sz w:val="14"/>
            <w:szCs w:val="14"/>
            <w:u w:val="single" w:color="auto"/>
            <w:color w:val="0000FF"/>
          </w:rPr>
          <w:t>1, 2022, SEC File Number 001-41490) (1)</w:t>
        </w:r>
      </w:hyperlink>
    </w:p>
    <w:p>
      <w:pPr>
        <w:spacing w:after="0" w:line="7"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10.33</w:t>
      </w:r>
      <w:r>
        <w:rPr>
          <w:sz w:val="20"/>
          <w:szCs w:val="20"/>
          <w:color w:val="auto"/>
        </w:rPr>
        <w:tab/>
      </w:r>
      <w:hyperlink r:id="rId306">
        <w:r>
          <w:rPr>
            <w:rFonts w:ascii="Times New Roman" w:cs="Times New Roman" w:eastAsia="Times New Roman" w:hAnsi="Times New Roman"/>
            <w:sz w:val="14"/>
            <w:szCs w:val="14"/>
            <w:u w:val="single" w:color="auto"/>
            <w:color w:val="0000FF"/>
          </w:rPr>
          <w:t>F&amp;G Annuities &amp; Life, Inc. Deferred Compensation Plan (incorporated by reference to Exhibit 10.6 to F&amp;G Annuities &amp; Life, Inc.’s Current Report on Form 8-K filed on December 1,</w:t>
        </w:r>
      </w:hyperlink>
    </w:p>
    <w:p>
      <w:pPr>
        <w:ind w:left="800"/>
        <w:spacing w:after="0"/>
        <w:rPr>
          <w:rFonts w:ascii="Times New Roman" w:cs="Times New Roman" w:eastAsia="Times New Roman" w:hAnsi="Times New Roman"/>
          <w:sz w:val="14"/>
          <w:szCs w:val="14"/>
          <w:u w:val="single" w:color="auto"/>
          <w:color w:val="0000FF"/>
        </w:rPr>
      </w:pPr>
      <w:hyperlink r:id="rId306">
        <w:r>
          <w:rPr>
            <w:rFonts w:ascii="Times New Roman" w:cs="Times New Roman" w:eastAsia="Times New Roman" w:hAnsi="Times New Roman"/>
            <w:sz w:val="14"/>
            <w:szCs w:val="14"/>
            <w:u w:val="single" w:color="auto"/>
            <w:color w:val="0000FF"/>
          </w:rPr>
          <w:t>2022, SEC File Number 001-41490) (1)</w:t>
        </w:r>
      </w:hyperlink>
    </w:p>
    <w:p>
      <w:pPr>
        <w:spacing w:after="0" w:line="14"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10.34</w:t>
      </w:r>
      <w:r>
        <w:rPr>
          <w:sz w:val="20"/>
          <w:szCs w:val="20"/>
          <w:color w:val="auto"/>
        </w:rPr>
        <w:tab/>
      </w:r>
      <w:hyperlink r:id="rId307">
        <w:r>
          <w:rPr>
            <w:rFonts w:ascii="Times New Roman" w:cs="Times New Roman" w:eastAsia="Times New Roman" w:hAnsi="Times New Roman"/>
            <w:sz w:val="14"/>
            <w:szCs w:val="14"/>
            <w:u w:val="single" w:color="auto"/>
            <w:color w:val="0000FF"/>
          </w:rPr>
          <w:t>Fifth Amended and Restated Credit Agreement, dated as of October 29, 2020, by and among Fidelity National Financial, Inc., as the Borrower, Bank of America, N.A., as</w:t>
        </w:r>
      </w:hyperlink>
      <w:r>
        <w:rPr>
          <w:rFonts w:ascii="Times New Roman" w:cs="Times New Roman" w:eastAsia="Times New Roman" w:hAnsi="Times New Roman"/>
          <w:sz w:val="14"/>
          <w:szCs w:val="14"/>
          <w:u w:val="single" w:color="auto"/>
          <w:color w:val="0000FF"/>
        </w:rPr>
        <w:t xml:space="preserve"> </w:t>
      </w:r>
      <w:hyperlink r:id="rId307">
        <w:r>
          <w:rPr>
            <w:rFonts w:ascii="Times New Roman" w:cs="Times New Roman" w:eastAsia="Times New Roman" w:hAnsi="Times New Roman"/>
            <w:sz w:val="14"/>
            <w:szCs w:val="14"/>
            <w:u w:val="single" w:color="auto"/>
            <w:color w:val="0000FF"/>
          </w:rPr>
          <w:t>administrative agent, and other agents party thereto (incorporated by reference to Exhibit 10.1 to the Registrant's Current Report on Form 8-K filed on November 4, 2020)</w:t>
        </w:r>
      </w:hyperlink>
    </w:p>
    <w:p>
      <w:pPr>
        <w:spacing w:after="0" w:line="8" w:lineRule="exact"/>
        <w:rPr>
          <w:sz w:val="20"/>
          <w:szCs w:val="20"/>
          <w:color w:val="auto"/>
        </w:rPr>
      </w:pPr>
    </w:p>
    <w:p>
      <w:pPr>
        <w:ind w:left="800" w:hanging="559"/>
        <w:spacing w:after="0" w:line="239" w:lineRule="auto"/>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10.35</w:t>
      </w:r>
      <w:r>
        <w:rPr>
          <w:sz w:val="20"/>
          <w:szCs w:val="20"/>
          <w:color w:val="auto"/>
        </w:rPr>
        <w:tab/>
      </w:r>
      <w:hyperlink r:id="rId308">
        <w:r>
          <w:rPr>
            <w:rFonts w:ascii="Times New Roman" w:cs="Times New Roman" w:eastAsia="Times New Roman" w:hAnsi="Times New Roman"/>
            <w:sz w:val="14"/>
            <w:szCs w:val="14"/>
            <w:u w:val="single" w:color="auto"/>
            <w:color w:val="0000FF"/>
          </w:rPr>
          <w:t>Registration Rights Agreement, dated as of January 13, 2023, by and among F&amp;G Annuities &amp; Life, Inc., the guarantors named therein and BofA Securities, Inc., J.P. Morgan Securities</w:t>
        </w:r>
      </w:hyperlink>
      <w:r>
        <w:rPr>
          <w:rFonts w:ascii="Times New Roman" w:cs="Times New Roman" w:eastAsia="Times New Roman" w:hAnsi="Times New Roman"/>
          <w:sz w:val="14"/>
          <w:szCs w:val="14"/>
          <w:u w:val="single" w:color="auto"/>
          <w:color w:val="0000FF"/>
        </w:rPr>
        <w:t xml:space="preserve"> </w:t>
      </w:r>
      <w:hyperlink r:id="rId308">
        <w:r>
          <w:rPr>
            <w:rFonts w:ascii="Times New Roman" w:cs="Times New Roman" w:eastAsia="Times New Roman" w:hAnsi="Times New Roman"/>
            <w:sz w:val="14"/>
            <w:szCs w:val="14"/>
            <w:u w:val="single" w:color="auto"/>
            <w:color w:val="0000FF"/>
          </w:rPr>
          <w:t>LLC and RBC Capital Markets, LLC (incorporated by reference to Exhibit 10.1 to the Registrant's Current Report on Form 8-K filed on January 13, 2023)</w:t>
        </w:r>
      </w:hyperlink>
    </w:p>
    <w:p>
      <w:pPr>
        <w:spacing w:after="0" w:line="1" w:lineRule="exact"/>
        <w:rPr>
          <w:sz w:val="20"/>
          <w:szCs w:val="20"/>
          <w:color w:val="auto"/>
        </w:rPr>
      </w:pPr>
    </w:p>
    <w:p>
      <w:pPr>
        <w:ind w:left="240"/>
        <w:spacing w:after="0"/>
        <w:tabs>
          <w:tab w:leader="none" w:pos="7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10.36</w:t>
      </w:r>
      <w:r>
        <w:rPr>
          <w:sz w:val="20"/>
          <w:szCs w:val="20"/>
          <w:color w:val="auto"/>
        </w:rPr>
        <w:tab/>
      </w:r>
      <w:hyperlink r:id="rId309">
        <w:r>
          <w:rPr>
            <w:rFonts w:ascii="Times New Roman" w:cs="Times New Roman" w:eastAsia="Times New Roman" w:hAnsi="Times New Roman"/>
            <w:sz w:val="14"/>
            <w:szCs w:val="14"/>
            <w:u w:val="single" w:color="auto"/>
            <w:color w:val="0000FF"/>
          </w:rPr>
          <w:t>Investment Management Agreement, dated as of December 16, 2020, by and between F&amp;G Cayman Re Ltd. and Blackstone ISGI Advisors L.L.C. (incorporated by reference to Exhibit</w:t>
        </w:r>
      </w:hyperlink>
    </w:p>
    <w:p>
      <w:pPr>
        <w:ind w:left="800"/>
        <w:spacing w:after="0"/>
        <w:rPr>
          <w:rFonts w:ascii="Times New Roman" w:cs="Times New Roman" w:eastAsia="Times New Roman" w:hAnsi="Times New Roman"/>
          <w:sz w:val="14"/>
          <w:szCs w:val="14"/>
          <w:u w:val="single" w:color="auto"/>
          <w:color w:val="0000FF"/>
        </w:rPr>
      </w:pPr>
      <w:hyperlink r:id="rId309">
        <w:r>
          <w:rPr>
            <w:rFonts w:ascii="Times New Roman" w:cs="Times New Roman" w:eastAsia="Times New Roman" w:hAnsi="Times New Roman"/>
            <w:sz w:val="14"/>
            <w:szCs w:val="14"/>
            <w:u w:val="single" w:color="auto"/>
            <w:color w:val="0000FF"/>
          </w:rPr>
          <w:t>10.1 to the Registrant's Quarterly Report on Form 10-Q for the quarter ended September 30, 2022)</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restart"/>
          </w:tcPr>
          <w:p>
            <w:pPr>
              <w:spacing w:after="0"/>
              <w:rPr>
                <w:sz w:val="11"/>
                <w:szCs w:val="11"/>
                <w:color w:val="auto"/>
              </w:rPr>
            </w:pPr>
          </w:p>
        </w:tc>
        <w:tc>
          <w:tcPr>
            <w:tcW w:w="586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400" w:type="dxa"/>
            <w:vAlign w:val="bottom"/>
          </w:tcPr>
          <w:p>
            <w:pPr>
              <w:jc w:val="center"/>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5860" w:type="dxa"/>
            <w:vAlign w:val="bottom"/>
            <w:gridSpan w:val="2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10.37</w:t>
            </w:r>
          </w:p>
        </w:tc>
        <w:tc>
          <w:tcPr>
            <w:tcW w:w="200" w:type="dxa"/>
            <w:vAlign w:val="bottom"/>
          </w:tcPr>
          <w:p>
            <w:pPr>
              <w:spacing w:after="0"/>
              <w:rPr>
                <w:sz w:val="13"/>
                <w:szCs w:val="13"/>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1">
              <w:r>
                <w:rPr>
                  <w:rFonts w:ascii="Times New Roman" w:cs="Times New Roman" w:eastAsia="Times New Roman" w:hAnsi="Times New Roman"/>
                  <w:sz w:val="14"/>
                  <w:szCs w:val="14"/>
                  <w:color w:val="0000FF"/>
                </w:rPr>
                <w:t>Investment Management Agreement, dated as of January 4, 2021, by and between F&amp;G Annuities &amp; Life, Inc. and Blackstone ISG-I Advisors L.L.C. (incorporated by reference to</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311">
              <w:r>
                <w:rPr>
                  <w:rFonts w:ascii="Times New Roman" w:cs="Times New Roman" w:eastAsia="Times New Roman" w:hAnsi="Times New Roman"/>
                  <w:sz w:val="13"/>
                  <w:szCs w:val="13"/>
                  <w:color w:val="0000FF"/>
                </w:rPr>
                <w:t>Exhibit 10.2 to the Registrant's Quarterly Report on Form 10-Q for the quarter ended September 30, 2022)</w:t>
              </w:r>
            </w:hyperlink>
          </w:p>
        </w:tc>
        <w:tc>
          <w:tcPr>
            <w:tcW w:w="45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10.38</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2">
              <w:r>
                <w:rPr>
                  <w:rFonts w:ascii="Times New Roman" w:cs="Times New Roman" w:eastAsia="Times New Roman" w:hAnsi="Times New Roman"/>
                  <w:sz w:val="14"/>
                  <w:szCs w:val="14"/>
                  <w:color w:val="0000FF"/>
                </w:rPr>
                <w:t>Investment Management Agreement, dated as of July 29, 2021, by and between Fidelity &amp; Guaranty Life Insurance Company and Blackstone ISG-I Advisors L.L.C. (incorporated by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0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312">
              <w:r>
                <w:rPr>
                  <w:rFonts w:ascii="Times New Roman" w:cs="Times New Roman" w:eastAsia="Times New Roman" w:hAnsi="Times New Roman"/>
                  <w:sz w:val="13"/>
                  <w:szCs w:val="13"/>
                  <w:color w:val="0000FF"/>
                </w:rPr>
                <w:t>reference to Exhibit 10.3 to the Registrant's Quarterly Report on Form 10-Q for the quarter ended September 30, 2022)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10.39</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Amended and Restated Amendment to Investment Management Agreements; IMA Omnibus Termination Side Letter; SMA Fee Agreement and Participation Fee Agreement, dated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4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313">
              <w:r>
                <w:rPr>
                  <w:rFonts w:ascii="Times New Roman" w:cs="Times New Roman" w:eastAsia="Times New Roman" w:hAnsi="Times New Roman"/>
                  <w:sz w:val="13"/>
                  <w:szCs w:val="13"/>
                  <w:color w:val="0000FF"/>
                </w:rPr>
                <w:t>September 24, 2021, by and among F&amp;G Life &amp; Annuities, Inc., Fidelity National Financial, Inc. and Blackstone ISG-I Advisors L.L.C. (incorporated by reference to Exhibit 10.4 to</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140" w:type="dxa"/>
            <w:vAlign w:val="bottom"/>
            <w:tcBorders>
              <w:top w:val="single" w:sz="8" w:color="0000FF"/>
              <w:bottom w:val="single" w:sz="8" w:color="0000FF"/>
            </w:tcBorders>
            <w:gridSpan w:val="9"/>
          </w:tcPr>
          <w:p>
            <w:pPr>
              <w:spacing w:after="0" w:line="129" w:lineRule="exact"/>
              <w:rPr>
                <w:rFonts w:ascii="Times New Roman" w:cs="Times New Roman" w:eastAsia="Times New Roman" w:hAnsi="Times New Roman"/>
                <w:sz w:val="14"/>
                <w:szCs w:val="14"/>
                <w:color w:val="0000FF"/>
              </w:rPr>
            </w:pPr>
            <w:hyperlink r:id="rId313">
              <w:r>
                <w:rPr>
                  <w:rFonts w:ascii="Times New Roman" w:cs="Times New Roman" w:eastAsia="Times New Roman" w:hAnsi="Times New Roman"/>
                  <w:sz w:val="14"/>
                  <w:szCs w:val="14"/>
                  <w:color w:val="0000FF"/>
                </w:rPr>
                <w:t>the Registrant's Quarterly Report on Form 10-Q for the quarter ended September 30, 2022)</w:t>
              </w:r>
            </w:hyperlink>
          </w:p>
        </w:tc>
        <w:tc>
          <w:tcPr>
            <w:tcW w:w="5340" w:type="dxa"/>
            <w:vAlign w:val="bottom"/>
            <w:tcBorders>
              <w:top w:val="single" w:sz="8" w:color="0000FF"/>
            </w:tcBorders>
            <w:gridSpan w:val="7"/>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10.40</w:t>
            </w:r>
          </w:p>
        </w:tc>
        <w:tc>
          <w:tcPr>
            <w:tcW w:w="200" w:type="dxa"/>
            <w:vAlign w:val="bottom"/>
          </w:tcPr>
          <w:p>
            <w:pPr>
              <w:spacing w:after="0"/>
              <w:rPr>
                <w:sz w:val="13"/>
                <w:szCs w:val="13"/>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Credit Agreement, dated as of November 22, 2022, by and among F&amp;G Annuities &amp; Life, Inc., a Delaware corporation, as the borrower, the guarantors party thereto, Bank of America,</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700" w:type="dxa"/>
            <w:vAlign w:val="bottom"/>
            <w:tcBorders>
              <w:top w:val="single" w:sz="8" w:color="0000FF"/>
            </w:tcBorders>
            <w:gridSpan w:val="27"/>
          </w:tcPr>
          <w:p>
            <w:pPr>
              <w:spacing w:after="0" w:line="118" w:lineRule="exact"/>
              <w:rPr>
                <w:rFonts w:ascii="Times New Roman" w:cs="Times New Roman" w:eastAsia="Times New Roman" w:hAnsi="Times New Roman"/>
                <w:sz w:val="13"/>
                <w:szCs w:val="13"/>
                <w:color w:val="0000FF"/>
              </w:rPr>
            </w:pPr>
            <w:hyperlink r:id="rId314">
              <w:r>
                <w:rPr>
                  <w:rFonts w:ascii="Times New Roman" w:cs="Times New Roman" w:eastAsia="Times New Roman" w:hAnsi="Times New Roman"/>
                  <w:sz w:val="13"/>
                  <w:szCs w:val="13"/>
                  <w:color w:val="0000FF"/>
                </w:rPr>
                <w:t>N.A., as administrative agent, and the financial institutions party thereto as lenders (incorporated by reference to Exhibit 10.1 to the Registrant's Current Report on Form 8-K filed on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60" w:type="dxa"/>
            <w:vAlign w:val="bottom"/>
            <w:tcBorders>
              <w:top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314">
              <w:r>
                <w:rPr>
                  <w:rFonts w:ascii="Times New Roman" w:cs="Times New Roman" w:eastAsia="Times New Roman" w:hAnsi="Times New Roman"/>
                  <w:sz w:val="14"/>
                  <w:szCs w:val="14"/>
                  <w:color w:val="0000FF"/>
                </w:rPr>
                <w:t>November 22, 2022)</w:t>
              </w:r>
            </w:hyperlink>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10.41</w:t>
            </w:r>
          </w:p>
        </w:tc>
        <w:tc>
          <w:tcPr>
            <w:tcW w:w="200" w:type="dxa"/>
            <w:vAlign w:val="bottom"/>
          </w:tcPr>
          <w:p>
            <w:pPr>
              <w:spacing w:after="0"/>
              <w:rPr>
                <w:sz w:val="13"/>
                <w:szCs w:val="13"/>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5">
              <w:r>
                <w:rPr>
                  <w:rFonts w:ascii="Times New Roman" w:cs="Times New Roman" w:eastAsia="Times New Roman" w:hAnsi="Times New Roman"/>
                  <w:sz w:val="14"/>
                  <w:szCs w:val="14"/>
                  <w:color w:val="0000FF"/>
                </w:rPr>
                <w:t>Corporate Services Agreement, dated as of November 30, 2022, between Fidelity National Financial, Inc. and F&amp;G Annuities &amp; Life, Inc. (incorporated by reference to Exhibit 99.2 to</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12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315">
              <w:r>
                <w:rPr>
                  <w:rFonts w:ascii="Times New Roman" w:cs="Times New Roman" w:eastAsia="Times New Roman" w:hAnsi="Times New Roman"/>
                  <w:sz w:val="13"/>
                  <w:szCs w:val="13"/>
                  <w:color w:val="0000FF"/>
                </w:rPr>
                <w:t>the Registrant's Current Report on Form 8-K filed on December 1, 2022)</w:t>
              </w:r>
            </w:hyperlink>
          </w:p>
        </w:tc>
        <w:tc>
          <w:tcPr>
            <w:tcW w:w="6600" w:type="dxa"/>
            <w:vAlign w:val="bottom"/>
            <w:tcBorders>
              <w:top w:val="single" w:sz="8" w:color="0000FF"/>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10.42</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6">
              <w:r>
                <w:rPr>
                  <w:rFonts w:ascii="Times New Roman" w:cs="Times New Roman" w:eastAsia="Times New Roman" w:hAnsi="Times New Roman"/>
                  <w:sz w:val="14"/>
                  <w:szCs w:val="14"/>
                  <w:color w:val="0000FF"/>
                </w:rPr>
                <w:t>Reverse Corporate Services Agreement, dated as of November 30, 2022, between Fidelity National Financial, Inc. and F&amp;G Annuities &amp; Life, Inc. (incorporated by reference to Exhibit</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316">
              <w:r>
                <w:rPr>
                  <w:rFonts w:ascii="Times New Roman" w:cs="Times New Roman" w:eastAsia="Times New Roman" w:hAnsi="Times New Roman"/>
                  <w:sz w:val="13"/>
                  <w:szCs w:val="13"/>
                  <w:color w:val="0000FF"/>
                </w:rPr>
                <w:t>99.</w:t>
              </w:r>
              <w:r>
                <w:rPr>
                  <w:rFonts w:ascii="Times New Roman" w:cs="Times New Roman" w:eastAsia="Times New Roman" w:hAnsi="Times New Roman"/>
                  <w:sz w:val="13"/>
                  <w:szCs w:val="13"/>
                  <w:u w:val="single" w:color="auto"/>
                  <w:color w:val="0000FF"/>
                </w:rPr>
                <w:t>3</w:t>
              </w:r>
              <w:r>
                <w:rPr>
                  <w:rFonts w:ascii="Times New Roman" w:cs="Times New Roman" w:eastAsia="Times New Roman" w:hAnsi="Times New Roman"/>
                  <w:sz w:val="13"/>
                  <w:szCs w:val="13"/>
                  <w:color w:val="0000FF"/>
                </w:rPr>
                <w:t xml:space="preserve"> to the Registrant's Current Report on Form 8-K filed on December 1, 2022)</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10.43</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7">
              <w:r>
                <w:rPr>
                  <w:rFonts w:ascii="Times New Roman" w:cs="Times New Roman" w:eastAsia="Times New Roman" w:hAnsi="Times New Roman"/>
                  <w:sz w:val="14"/>
                  <w:szCs w:val="14"/>
                  <w:color w:val="0000FF"/>
                </w:rPr>
                <w:t>Tax Sharing Agreement, dated as of November 30, 2022, between Fidelity National Financial, Inc. and F&amp;G Annuities &amp; Life, Inc. (incorporated by reference to Exhibit 99.4 to the</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9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317">
              <w:r>
                <w:rPr>
                  <w:rFonts w:ascii="Times New Roman" w:cs="Times New Roman" w:eastAsia="Times New Roman" w:hAnsi="Times New Roman"/>
                  <w:sz w:val="13"/>
                  <w:szCs w:val="13"/>
                  <w:color w:val="0000FF"/>
                </w:rPr>
                <w:t>Registrant's Current Report on Form 8-K filed on December 1, 2022)</w:t>
              </w:r>
            </w:hyperlink>
          </w:p>
        </w:tc>
        <w:tc>
          <w:tcPr>
            <w:tcW w:w="660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10.44</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8">
              <w:r>
                <w:rPr>
                  <w:rFonts w:ascii="Times New Roman" w:cs="Times New Roman" w:eastAsia="Times New Roman" w:hAnsi="Times New Roman"/>
                  <w:sz w:val="14"/>
                  <w:szCs w:val="14"/>
                  <w:color w:val="0000FF"/>
                </w:rPr>
                <w:t>First Amendment to Credit Agreement, dated as of February 21, 2023, among F&amp;G Annuities &amp; Life, Inc. and the Guarantor parties and Lender parties signatory thereto (incorporated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5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318">
              <w:r>
                <w:rPr>
                  <w:rFonts w:ascii="Times New Roman" w:cs="Times New Roman" w:eastAsia="Times New Roman" w:hAnsi="Times New Roman"/>
                  <w:sz w:val="13"/>
                  <w:szCs w:val="13"/>
                  <w:color w:val="0000FF"/>
                </w:rPr>
                <w:t>by reference to Exhibit 10.41 to the Registrant's Annual Report on Form 10-K for the year ended December 31,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10.45</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283">
              <w:r>
                <w:rPr>
                  <w:rFonts w:ascii="Times New Roman" w:cs="Times New Roman" w:eastAsia="Times New Roman" w:hAnsi="Times New Roman"/>
                  <w:sz w:val="14"/>
                  <w:szCs w:val="14"/>
                  <w:color w:val="0000FF"/>
                </w:rPr>
                <w:t>Amended and Restated Employment Agreement between the Registrant and Michael L. Gravelle, effective as of January 1, 2010 (incorporated by reference to Exhibit 10.22 to the</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283">
              <w:r>
                <w:rPr>
                  <w:rFonts w:ascii="Times New Roman" w:cs="Times New Roman" w:eastAsia="Times New Roman" w:hAnsi="Times New Roman"/>
                  <w:sz w:val="13"/>
                  <w:szCs w:val="13"/>
                  <w:color w:val="0000FF"/>
                </w:rPr>
                <w:t>Registrant's Annual Report on Form 10-K for the year ended December 31, 2009)</w:t>
              </w:r>
            </w:hyperlink>
          </w:p>
        </w:tc>
        <w:tc>
          <w:tcPr>
            <w:tcW w:w="6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263">
              <w:r>
                <w:rPr>
                  <w:rFonts w:ascii="Times New Roman" w:cs="Times New Roman" w:eastAsia="Times New Roman" w:hAnsi="Times New Roman"/>
                  <w:sz w:val="14"/>
                  <w:szCs w:val="14"/>
                  <w:color w:val="0000FF"/>
                </w:rPr>
                <w:t>Eighth Supplemental Indenture, dated as of April 22, 2024, between Fidelity National Financial, Inc. and The Bank of New York Mellon Trust Company, N.A. (incorporated by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6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263">
              <w:r>
                <w:rPr>
                  <w:rFonts w:ascii="Times New Roman" w:cs="Times New Roman" w:eastAsia="Times New Roman" w:hAnsi="Times New Roman"/>
                  <w:sz w:val="13"/>
                  <w:szCs w:val="13"/>
                  <w:color w:val="0000FF"/>
                </w:rPr>
                <w:t>reference to Exhibit 4.1 to Registrant's Current Report on Form 8-K filed on April 23, 2024).</w:t>
              </w:r>
            </w:hyperlink>
          </w:p>
        </w:tc>
        <w:tc>
          <w:tcPr>
            <w:tcW w:w="546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10.47</w:t>
            </w:r>
          </w:p>
        </w:tc>
        <w:tc>
          <w:tcPr>
            <w:tcW w:w="200" w:type="dxa"/>
            <w:vAlign w:val="bottom"/>
          </w:tcPr>
          <w:p>
            <w:pPr>
              <w:spacing w:after="0"/>
              <w:rPr>
                <w:sz w:val="14"/>
                <w:szCs w:val="14"/>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Sixth Amended and Restated Credit Agreement, dated as of February 16, 2024, by and among Fidelity National Financial, Inc., a Delaware corporation, as the borrower, Bank of</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8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319">
              <w:r>
                <w:rPr>
                  <w:rFonts w:ascii="Times New Roman" w:cs="Times New Roman" w:eastAsia="Times New Roman" w:hAnsi="Times New Roman"/>
                  <w:sz w:val="13"/>
                  <w:szCs w:val="13"/>
                  <w:color w:val="0000FF"/>
                </w:rPr>
                <w:t>America, N.A., as administrative agent, and the financial institutions party thereto as lenders (incorporated by reference to Exhibit 10.1 to the Registrant’s Current Report on Form 8-K</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560" w:type="dxa"/>
            <w:vAlign w:val="bottom"/>
            <w:tcBorders>
              <w:top w:val="single" w:sz="8" w:color="0000FF"/>
            </w:tcBorders>
            <w:gridSpan w:val="20"/>
          </w:tcPr>
          <w:p>
            <w:pPr>
              <w:spacing w:after="0" w:line="129" w:lineRule="exact"/>
              <w:rPr>
                <w:rFonts w:ascii="Times New Roman" w:cs="Times New Roman" w:eastAsia="Times New Roman" w:hAnsi="Times New Roman"/>
                <w:sz w:val="14"/>
                <w:szCs w:val="14"/>
                <w:color w:val="0000FF"/>
              </w:rPr>
            </w:pPr>
            <w:hyperlink r:id="rId319">
              <w:r>
                <w:rPr>
                  <w:rFonts w:ascii="Times New Roman" w:cs="Times New Roman" w:eastAsia="Times New Roman" w:hAnsi="Times New Roman"/>
                  <w:sz w:val="14"/>
                  <w:szCs w:val="14"/>
                  <w:color w:val="0000FF"/>
                </w:rPr>
                <w:t>filed on February 16, 2024).</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10.48</w:t>
            </w:r>
          </w:p>
        </w:tc>
        <w:tc>
          <w:tcPr>
            <w:tcW w:w="200" w:type="dxa"/>
            <w:vAlign w:val="bottom"/>
          </w:tcPr>
          <w:p>
            <w:pPr>
              <w:spacing w:after="0"/>
              <w:rPr>
                <w:sz w:val="13"/>
                <w:szCs w:val="13"/>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Amended and Restated Credit Agreement, dated as of February 16, 2024, by and among F&amp;G Annuities &amp; Life, Inc., a Delaware corporation, as the borrower, the guarantors party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320">
              <w:r>
                <w:rPr>
                  <w:rFonts w:ascii="Times New Roman" w:cs="Times New Roman" w:eastAsia="Times New Roman" w:hAnsi="Times New Roman"/>
                  <w:sz w:val="13"/>
                  <w:szCs w:val="13"/>
                  <w:color w:val="0000FF"/>
                </w:rPr>
                <w:t>thereto, Bank of America, N.A., as administrative agent, and the financial institutions party thereto as lenders (incorporated by reference to Exhibit 10.2 to the Registrant’s Current</w:t>
              </w:r>
            </w:hyperlink>
          </w:p>
        </w:tc>
        <w:tc>
          <w:tcPr>
            <w:tcW w:w="1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580" w:type="dxa"/>
            <w:vAlign w:val="bottom"/>
            <w:tcBorders>
              <w:top w:val="single" w:sz="8" w:color="0000FF"/>
            </w:tcBorders>
            <w:gridSpan w:val="21"/>
          </w:tcPr>
          <w:p>
            <w:pPr>
              <w:spacing w:after="0" w:line="129" w:lineRule="exact"/>
              <w:rPr>
                <w:rFonts w:ascii="Times New Roman" w:cs="Times New Roman" w:eastAsia="Times New Roman" w:hAnsi="Times New Roman"/>
                <w:sz w:val="14"/>
                <w:szCs w:val="14"/>
                <w:color w:val="0000FF"/>
              </w:rPr>
            </w:pPr>
            <w:hyperlink r:id="rId320">
              <w:r>
                <w:rPr>
                  <w:rFonts w:ascii="Times New Roman" w:cs="Times New Roman" w:eastAsia="Times New Roman" w:hAnsi="Times New Roman"/>
                  <w:sz w:val="14"/>
                  <w:szCs w:val="14"/>
                  <w:color w:val="0000FF"/>
                </w:rPr>
                <w:t>Report on Form 8-K filed on February 16, 2024).</w:t>
              </w:r>
            </w:hyperlink>
          </w:p>
        </w:tc>
        <w:tc>
          <w:tcPr>
            <w:tcW w:w="16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5920" w:type="dxa"/>
            <w:vAlign w:val="bottom"/>
            <w:gridSpan w:val="11"/>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10.49</w:t>
            </w:r>
          </w:p>
        </w:tc>
        <w:tc>
          <w:tcPr>
            <w:tcW w:w="200" w:type="dxa"/>
            <w:vAlign w:val="bottom"/>
          </w:tcPr>
          <w:p>
            <w:pPr>
              <w:spacing w:after="0"/>
              <w:rPr>
                <w:sz w:val="13"/>
                <w:szCs w:val="13"/>
                <w:color w:val="auto"/>
              </w:rPr>
            </w:pPr>
          </w:p>
        </w:tc>
        <w:tc>
          <w:tcPr>
            <w:tcW w:w="10740" w:type="dxa"/>
            <w:vAlign w:val="bottom"/>
            <w:gridSpan w:val="29"/>
          </w:tcPr>
          <w:p>
            <w:pPr>
              <w:spacing w:after="0"/>
              <w:rPr>
                <w:rFonts w:ascii="Times New Roman" w:cs="Times New Roman" w:eastAsia="Times New Roman" w:hAnsi="Times New Roman"/>
                <w:sz w:val="14"/>
                <w:szCs w:val="14"/>
                <w:color w:val="0000FF"/>
              </w:rPr>
            </w:pPr>
            <w:hyperlink r:id="rId321">
              <w:r>
                <w:rPr>
                  <w:rFonts w:ascii="Times New Roman" w:cs="Times New Roman" w:eastAsia="Times New Roman" w:hAnsi="Times New Roman"/>
                  <w:sz w:val="14"/>
                  <w:szCs w:val="14"/>
                  <w:color w:val="0000FF"/>
                </w:rPr>
                <w:t>Fourth Supplemental Indenture relating to F&amp;G Annuities &amp; Life, Inc.’s 6.500% senior notes due 2029, dated as of June 4, 2024, among F&amp;G Annuities &amp; Life, Inc., the guarantors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70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321">
              <w:r>
                <w:rPr>
                  <w:rFonts w:ascii="Times New Roman" w:cs="Times New Roman" w:eastAsia="Times New Roman" w:hAnsi="Times New Roman"/>
                  <w:sz w:val="13"/>
                  <w:szCs w:val="13"/>
                  <w:color w:val="0000FF"/>
                </w:rPr>
                <w:t>named therein and Citibank, N.A., as trustee. (incorporated by reference to Exhibit 4.1 to Registrant's Current Report on Form 8-K filed on June 4, 2024).</w:t>
              </w:r>
            </w:hyperlink>
          </w:p>
        </w:tc>
        <w:tc>
          <w:tcPr>
            <w:tcW w:w="1840" w:type="dxa"/>
            <w:vAlign w:val="bottom"/>
            <w:tcBorders>
              <w:top w:val="single" w:sz="8" w:color="0000FF"/>
            </w:tcBorders>
            <w:gridSpan w:val="5"/>
          </w:tcPr>
          <w:p>
            <w:pPr>
              <w:spacing w:after="0"/>
              <w:rPr>
                <w:sz w:val="10"/>
                <w:szCs w:val="10"/>
                <w:color w:val="auto"/>
              </w:rPr>
            </w:pPr>
          </w:p>
        </w:tc>
        <w:tc>
          <w:tcPr>
            <w:tcW w:w="20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8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18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25"/>
        </w:trPr>
        <w:tc>
          <w:tcPr>
            <w:tcW w:w="780" w:type="dxa"/>
            <w:vAlign w:val="bottom"/>
            <w:gridSpan w:val="3"/>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Number</w:t>
            </w:r>
          </w:p>
        </w:tc>
        <w:tc>
          <w:tcPr>
            <w:tcW w:w="1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1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300" w:type="dxa"/>
            <w:vAlign w:val="bottom"/>
          </w:tcPr>
          <w:p>
            <w:pPr>
              <w:spacing w:after="0"/>
              <w:rPr>
                <w:sz w:val="13"/>
                <w:szCs w:val="13"/>
                <w:color w:val="auto"/>
              </w:rPr>
            </w:pPr>
          </w:p>
        </w:tc>
        <w:tc>
          <w:tcPr>
            <w:tcW w:w="478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Insider Trading and Tipping Policy</w:t>
            </w:r>
          </w:p>
        </w:tc>
        <w:tc>
          <w:tcPr>
            <w:tcW w:w="700" w:type="dxa"/>
            <w:vAlign w:val="bottom"/>
            <w:tcBorders>
              <w:top w:val="single" w:sz="8" w:color="auto"/>
            </w:tcBorders>
          </w:tcPr>
          <w:p>
            <w:pPr>
              <w:spacing w:after="0"/>
              <w:rPr>
                <w:sz w:val="13"/>
                <w:szCs w:val="13"/>
                <w:color w:val="auto"/>
              </w:rPr>
            </w:pPr>
          </w:p>
        </w:tc>
        <w:tc>
          <w:tcPr>
            <w:tcW w:w="32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300" w:type="dxa"/>
            <w:vAlign w:val="bottom"/>
          </w:tcPr>
          <w:p>
            <w:pPr>
              <w:spacing w:after="0"/>
              <w:rPr>
                <w:sz w:val="13"/>
                <w:szCs w:val="13"/>
                <w:color w:val="auto"/>
              </w:rPr>
            </w:pPr>
          </w:p>
        </w:tc>
        <w:tc>
          <w:tcPr>
            <w:tcW w:w="1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Subsidiaries of the Registrant</w:t>
            </w:r>
          </w:p>
        </w:tc>
        <w:tc>
          <w:tcPr>
            <w:tcW w:w="67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23.1</w:t>
            </w:r>
          </w:p>
        </w:tc>
        <w:tc>
          <w:tcPr>
            <w:tcW w:w="300" w:type="dxa"/>
            <w:vAlign w:val="bottom"/>
          </w:tcPr>
          <w:p>
            <w:pPr>
              <w:spacing w:after="0"/>
              <w:rPr>
                <w:sz w:val="13"/>
                <w:szCs w:val="13"/>
                <w:color w:val="auto"/>
              </w:rPr>
            </w:pPr>
          </w:p>
        </w:tc>
        <w:tc>
          <w:tcPr>
            <w:tcW w:w="45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Consent of Ernst &amp; Young LLP, Independent Registered Public Accounting Firm</w:t>
            </w:r>
          </w:p>
        </w:tc>
        <w:tc>
          <w:tcPr>
            <w:tcW w:w="4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300" w:type="dxa"/>
            <w:vAlign w:val="bottom"/>
          </w:tcPr>
          <w:p>
            <w:pPr>
              <w:spacing w:after="0"/>
              <w:rPr>
                <w:sz w:val="13"/>
                <w:szCs w:val="13"/>
                <w:color w:val="auto"/>
              </w:rPr>
            </w:pPr>
          </w:p>
        </w:tc>
        <w:tc>
          <w:tcPr>
            <w:tcW w:w="5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Section 302 of the Sarbanes-Oxley Act of 2002</w:t>
            </w:r>
          </w:p>
        </w:tc>
        <w:tc>
          <w:tcPr>
            <w:tcW w:w="3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300" w:type="dxa"/>
            <w:vAlign w:val="bottom"/>
          </w:tcPr>
          <w:p>
            <w:pPr>
              <w:spacing w:after="0"/>
              <w:rPr>
                <w:sz w:val="13"/>
                <w:szCs w:val="13"/>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300" w:type="dxa"/>
            <w:vAlign w:val="bottom"/>
          </w:tcPr>
          <w:p>
            <w:pPr>
              <w:spacing w:after="0"/>
              <w:rPr>
                <w:sz w:val="13"/>
                <w:szCs w:val="13"/>
                <w:color w:val="auto"/>
              </w:rPr>
            </w:pPr>
          </w:p>
        </w:tc>
        <w:tc>
          <w:tcPr>
            <w:tcW w:w="8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by Chief Executive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32.2</w:t>
            </w:r>
          </w:p>
        </w:tc>
        <w:tc>
          <w:tcPr>
            <w:tcW w:w="300" w:type="dxa"/>
            <w:vAlign w:val="bottom"/>
          </w:tcPr>
          <w:p>
            <w:pPr>
              <w:spacing w:after="0"/>
              <w:rPr>
                <w:sz w:val="13"/>
                <w:szCs w:val="13"/>
                <w:color w:val="auto"/>
              </w:rPr>
            </w:pP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by Chief Financial Officer of Periodic Financial Reports pursuant to Section 906 of the Sarbanes-Oxley Act of 2002, 18 U.S.C. Section 1350</w:t>
            </w:r>
          </w:p>
        </w:tc>
        <w:tc>
          <w:tcPr>
            <w:tcW w:w="0" w:type="dxa"/>
            <w:vAlign w:val="bottom"/>
          </w:tcPr>
          <w:p>
            <w:pPr>
              <w:spacing w:after="0"/>
              <w:rPr>
                <w:sz w:val="1"/>
                <w:szCs w:val="1"/>
                <w:color w:val="auto"/>
              </w:rPr>
            </w:pPr>
          </w:p>
        </w:tc>
      </w:tr>
      <w:tr>
        <w:trPr>
          <w:trHeight w:val="160"/>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300" w:type="dxa"/>
            <w:vAlign w:val="bottom"/>
          </w:tcPr>
          <w:p>
            <w:pPr>
              <w:spacing w:after="0"/>
              <w:rPr>
                <w:sz w:val="13"/>
                <w:szCs w:val="13"/>
                <w:color w:val="auto"/>
              </w:rPr>
            </w:pPr>
          </w:p>
        </w:tc>
        <w:tc>
          <w:tcPr>
            <w:tcW w:w="8720" w:type="dxa"/>
            <w:vAlign w:val="bottom"/>
            <w:tcBorders>
              <w:top w:val="single" w:sz="8" w:color="0000FF"/>
            </w:tcBorders>
            <w:gridSpan w:val="9"/>
          </w:tcPr>
          <w:p>
            <w:pPr>
              <w:spacing w:after="0"/>
              <w:rPr>
                <w:rFonts w:ascii="Times New Roman" w:cs="Times New Roman" w:eastAsia="Times New Roman" w:hAnsi="Times New Roman"/>
                <w:sz w:val="14"/>
                <w:szCs w:val="14"/>
                <w:color w:val="0000FF"/>
              </w:rPr>
            </w:pPr>
            <w:hyperlink r:id="rId323">
              <w:r>
                <w:rPr>
                  <w:rFonts w:ascii="Times New Roman" w:cs="Times New Roman" w:eastAsia="Times New Roman" w:hAnsi="Times New Roman"/>
                  <w:sz w:val="14"/>
                  <w:szCs w:val="14"/>
                  <w:color w:val="0000FF"/>
                </w:rPr>
                <w:t>Fidelity National Financial, Inc. Incentive-Based Executive Recoupment Policy</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101.INS</w:t>
            </w:r>
          </w:p>
        </w:tc>
        <w:tc>
          <w:tcPr>
            <w:tcW w:w="45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auto"/>
              </w:rPr>
              <w:t>Inline XBRL Instance Document (2)</w:t>
            </w:r>
          </w:p>
        </w:tc>
        <w:tc>
          <w:tcPr>
            <w:tcW w:w="42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101.SCH</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101.CAL</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101.DEF</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9"/>
              </w:rPr>
              <w:t>101.PRE</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7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101.LAB</w:t>
            </w:r>
          </w:p>
        </w:tc>
        <w:tc>
          <w:tcPr>
            <w:tcW w:w="876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bl>
    <w:p>
      <w:pPr>
        <w:ind w:left="1000" w:hanging="613"/>
        <w:spacing w:after="0"/>
        <w:tabs>
          <w:tab w:leader="none" w:pos="100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in Inline XBRL and contained in Exhibit 101</w:t>
      </w:r>
    </w:p>
    <w:p>
      <w:pPr>
        <w:spacing w:after="0" w:line="79"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management or compensatory plan or arrangement required to be filed as an exhibit to this report pursuant to Item 15(c) of Form 10-K</w:t>
      </w:r>
    </w:p>
    <w:p>
      <w:pPr>
        <w:spacing w:after="0" w:line="23"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instance document does not appear in the interactive data file because its XBRL tags are embedded within the inline XBRL document.</w:t>
      </w:r>
    </w:p>
    <w:p>
      <w:pPr>
        <w:spacing w:after="0" w:line="2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4"/>
          <w:szCs w:val="14"/>
          <w:b w:val="1"/>
          <w:bCs w:val="1"/>
          <w:i w:val="1"/>
          <w:i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SIGNATURES</w:t>
      </w:r>
    </w:p>
    <w:p>
      <w:pPr>
        <w:spacing w:after="0" w:line="94" w:lineRule="exact"/>
        <w:rPr>
          <w:sz w:val="20"/>
          <w:szCs w:val="20"/>
          <w:color w:val="auto"/>
        </w:rPr>
      </w:pPr>
    </w:p>
    <w:p>
      <w:pPr>
        <w:ind w:right="20" w:firstLine="12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color w:val="auto"/>
        </w:rPr>
        <w:t>Fidelity National Financial, Inc.</w:t>
      </w:r>
    </w:p>
    <w:p>
      <w:pPr>
        <w:spacing w:after="0" w:line="23" w:lineRule="exact"/>
        <w:rPr>
          <w:sz w:val="20"/>
          <w:szCs w:val="20"/>
          <w:color w:val="auto"/>
        </w:rPr>
      </w:pPr>
    </w:p>
    <w:p>
      <w:pPr>
        <w:ind w:left="6200"/>
        <w:spacing w:after="0"/>
        <w:tabs>
          <w:tab w:leader="none" w:pos="79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4247515</wp:posOffset>
            </wp:positionH>
            <wp:positionV relativeFrom="paragraph">
              <wp:posOffset>12700</wp:posOffset>
            </wp:positionV>
            <wp:extent cx="234442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5">
                      <a:extLst>
                        <a:ext uri="{28A0092B-C50C-407E-A947-70E740481C1C}"/>
                      </a:extLst>
                    </a:blip>
                    <a:srcRect/>
                    <a:stretch>
                      <a:fillRect/>
                    </a:stretch>
                  </pic:blipFill>
                  <pic:spPr bwMode="auto">
                    <a:xfrm>
                      <a:off x="0" y="0"/>
                      <a:ext cx="2344420" cy="6985"/>
                    </a:xfrm>
                    <a:prstGeom prst="rect">
                      <a:avLst/>
                    </a:prstGeom>
                    <a:noFill/>
                  </pic:spPr>
                </pic:pic>
              </a:graphicData>
            </a:graphic>
          </wp:anchor>
        </w:drawing>
      </w:r>
    </w:p>
    <w:p>
      <w:pPr>
        <w:spacing w:after="0" w:line="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4"/>
          <w:szCs w:val="14"/>
          <w:color w:val="auto"/>
        </w:rPr>
        <w:t>Michael J. Nolan</w:t>
      </w:r>
    </w:p>
    <w:p>
      <w:pPr>
        <w:spacing w:after="0" w:line="2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232" w:lineRule="exact"/>
        <w:rPr>
          <w:sz w:val="20"/>
          <w:szCs w:val="20"/>
          <w:color w:val="auto"/>
        </w:rPr>
      </w:pPr>
    </w:p>
    <w:p>
      <w:pPr>
        <w:ind w:left="20" w:firstLine="212"/>
        <w:spacing w:after="0" w:line="239"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1"/>
                <w:szCs w:val="11"/>
                <w:color w:val="auto"/>
              </w:rPr>
            </w:pPr>
          </w:p>
        </w:tc>
        <w:tc>
          <w:tcPr>
            <w:tcW w:w="1940" w:type="dxa"/>
            <w:vAlign w:val="bottom"/>
            <w:gridSpan w:val="2"/>
          </w:tcPr>
          <w:p>
            <w:pPr>
              <w:jc w:val="center"/>
              <w:ind w:right="148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920" w:type="dxa"/>
            <w:vAlign w:val="bottom"/>
            <w:gridSpan w:val="2"/>
          </w:tcPr>
          <w:p>
            <w:pPr>
              <w:ind w:left="1700"/>
              <w:spacing w:after="0"/>
              <w:rPr>
                <w:sz w:val="20"/>
                <w:szCs w:val="20"/>
                <w:color w:val="auto"/>
              </w:rPr>
            </w:pPr>
            <w:r>
              <w:rPr>
                <w:rFonts w:ascii="Times New Roman" w:cs="Times New Roman" w:eastAsia="Times New Roman" w:hAnsi="Times New Roman"/>
                <w:sz w:val="11"/>
                <w:szCs w:val="11"/>
                <w:b w:val="1"/>
                <w:bCs w:val="1"/>
                <w:color w:val="auto"/>
                <w:w w:val="90"/>
              </w:rPr>
              <w:t>Date</w:t>
            </w:r>
          </w:p>
        </w:tc>
      </w:tr>
      <w:tr>
        <w:trPr>
          <w:trHeight w:val="20"/>
        </w:trPr>
        <w:tc>
          <w:tcPr>
            <w:tcW w:w="1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45"/>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Michael J. Nolan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Chief Executive Officer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Michael J. Nolan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Anthony J. Park</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Chief Financial Officer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Anthony J. Park</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William P. Foley, II</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 and Chairman of the Board</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William P. Foley, II</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Raymond R. Quirk</w:t>
            </w:r>
          </w:p>
        </w:tc>
        <w:tc>
          <w:tcPr>
            <w:tcW w:w="4700" w:type="dxa"/>
            <w:vAlign w:val="bottom"/>
            <w:gridSpan w:val="3"/>
          </w:tcPr>
          <w:p>
            <w:pPr>
              <w:jc w:val="center"/>
              <w:ind w:left="650"/>
              <w:spacing w:after="0"/>
              <w:rPr>
                <w:sz w:val="20"/>
                <w:szCs w:val="20"/>
                <w:color w:val="auto"/>
              </w:rPr>
            </w:pPr>
            <w:r>
              <w:rPr>
                <w:rFonts w:ascii="Times New Roman" w:cs="Times New Roman" w:eastAsia="Times New Roman" w:hAnsi="Times New Roman"/>
                <w:sz w:val="14"/>
                <w:szCs w:val="14"/>
                <w:color w:val="auto"/>
              </w:rPr>
              <w:t>Director and Executive Vice Chairman of the Board</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Raymond R. Quirk</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1"/>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Douglas K. Ammerman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Douglas K. Ammerman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Halim Dhanidina</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Halim Dhanidina</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Thomas M. Hagerty</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Thomas M. Hagerty</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Daniel D. (Ron) Lane</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9"/>
              </w:rPr>
              <w:t>Daniel D. (Ron) Lane</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Sandra D. Morgan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Sandra D. Morgan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Heather H. Miller</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Heather H. Miller</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John D. Rood</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John D. Rood</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Peter O. Shea, Jr.</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Peter O. Shea, Jr.</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9"/>
        </w:trPr>
        <w:tc>
          <w:tcPr>
            <w:tcW w:w="3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/s/ Cary H. Thompson</w:t>
            </w:r>
          </w:p>
        </w:tc>
        <w:tc>
          <w:tcPr>
            <w:tcW w:w="4700" w:type="dxa"/>
            <w:vAlign w:val="bottom"/>
            <w:gridSpan w:val="3"/>
          </w:tcPr>
          <w:p>
            <w:pPr>
              <w:jc w:val="center"/>
              <w:ind w:left="670"/>
              <w:spacing w:after="0"/>
              <w:rPr>
                <w:sz w:val="20"/>
                <w:szCs w:val="20"/>
                <w:color w:val="auto"/>
              </w:rPr>
            </w:pPr>
            <w:r>
              <w:rPr>
                <w:rFonts w:ascii="Times New Roman" w:cs="Times New Roman" w:eastAsia="Times New Roman" w:hAnsi="Times New Roman"/>
                <w:sz w:val="14"/>
                <w:szCs w:val="14"/>
                <w:color w:val="auto"/>
              </w:rPr>
              <w:t>Director</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February 26, 2026</w:t>
            </w:r>
          </w:p>
        </w:tc>
      </w:tr>
      <w:tr>
        <w:trPr>
          <w:trHeight w:val="175"/>
        </w:trPr>
        <w:tc>
          <w:tcPr>
            <w:tcW w:w="34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Cary H. Thompson</w:t>
            </w:r>
          </w:p>
        </w:tc>
        <w:tc>
          <w:tcPr>
            <w:tcW w:w="2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(In millions)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480" w:type="dxa"/>
            <w:vAlign w:val="bottom"/>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39"/>
        </w:trPr>
        <w:tc>
          <w:tcPr>
            <w:tcW w:w="8480" w:type="dxa"/>
            <w:vAlign w:val="bottom"/>
          </w:tcPr>
          <w:p>
            <w:pPr>
              <w:ind w:left="53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80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Short-term investments</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 in unconsolidated affiliates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 receivable</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and amounts due from subsidiaries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8,882</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Prepaid expenses and other assets</w:t>
            </w:r>
          </w:p>
        </w:tc>
        <w:tc>
          <w:tcPr>
            <w:tcW w:w="8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433</w:t>
            </w:r>
          </w:p>
        </w:tc>
        <w:tc>
          <w:tcPr>
            <w:tcW w:w="0" w:type="dxa"/>
            <w:vAlign w:val="bottom"/>
          </w:tcPr>
          <w:p>
            <w:pPr>
              <w:spacing w:after="0"/>
              <w:rPr>
                <w:sz w:val="1"/>
                <w:szCs w:val="1"/>
                <w:color w:val="auto"/>
              </w:rPr>
            </w:pPr>
          </w:p>
        </w:tc>
      </w:tr>
      <w:tr>
        <w:trPr>
          <w:trHeight w:val="156"/>
        </w:trPr>
        <w:tc>
          <w:tcPr>
            <w:tcW w:w="84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assets</w:t>
            </w:r>
          </w:p>
        </w:tc>
        <w:tc>
          <w:tcPr>
            <w:tcW w:w="8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10,420</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10,318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480" w:type="dxa"/>
            <w:vAlign w:val="bottom"/>
            <w:shd w:val="clear" w:color="auto" w:fill="CCEEFF"/>
          </w:tcPr>
          <w:p>
            <w:pPr>
              <w:ind w:left="48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EQUITY</w:t>
            </w:r>
          </w:p>
        </w:tc>
        <w:tc>
          <w:tcPr>
            <w:tcW w:w="8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Liabilities:</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payable and other accrued liabilities</w:t>
            </w:r>
          </w:p>
        </w:tc>
        <w:tc>
          <w:tcPr>
            <w:tcW w:w="80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385</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taxes payable</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Notes payable</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2,128</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liabilities</w:t>
            </w:r>
          </w:p>
        </w:tc>
        <w:tc>
          <w:tcPr>
            <w:tcW w:w="8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2,564</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Equity:</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480" w:type="dxa"/>
            <w:vAlign w:val="bottom"/>
            <w:shd w:val="clear" w:color="auto" w:fill="CCEEFF"/>
          </w:tcPr>
          <w:p>
            <w:pPr>
              <w:ind w:left="120"/>
              <w:spacing w:after="0" w:line="116" w:lineRule="exact"/>
              <w:rPr>
                <w:sz w:val="20"/>
                <w:szCs w:val="20"/>
                <w:color w:val="auto"/>
              </w:rPr>
            </w:pPr>
            <w:r>
              <w:rPr>
                <w:rFonts w:ascii="Times New Roman" w:cs="Times New Roman" w:eastAsia="Times New Roman" w:hAnsi="Times New Roman"/>
                <w:sz w:val="11"/>
                <w:szCs w:val="11"/>
                <w:color w:val="auto"/>
              </w:rPr>
              <w:t>FNF common stock, $0.0001 par value; authorized 600 shares as of December 31, 2025 and 2024; outstanding of 271 and 275 as of December 31, 2025 and 2024, respectively, and</w:t>
            </w:r>
          </w:p>
        </w:tc>
        <w:tc>
          <w:tcPr>
            <w:tcW w:w="80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issued of 332 and 331 as of December 31, 2025 and 2024, respectively</w:t>
            </w:r>
          </w:p>
        </w:tc>
        <w:tc>
          <w:tcPr>
            <w:tcW w:w="80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Preferred stock, $0.0001 par value; authorized 50,000,000 shares; issued and outstanding, none</w:t>
            </w:r>
          </w:p>
        </w:tc>
        <w:tc>
          <w:tcPr>
            <w:tcW w:w="80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5,976</w:t>
            </w:r>
          </w:p>
        </w:tc>
        <w:tc>
          <w:tcPr>
            <w:tcW w:w="0" w:type="dxa"/>
            <w:vAlign w:val="bottom"/>
          </w:tcPr>
          <w:p>
            <w:pPr>
              <w:spacing w:after="0"/>
              <w:rPr>
                <w:sz w:val="1"/>
                <w:szCs w:val="1"/>
                <w:color w:val="auto"/>
              </w:rPr>
            </w:pPr>
          </w:p>
        </w:tc>
      </w:tr>
      <w:tr>
        <w:trPr>
          <w:trHeight w:val="153"/>
        </w:trPr>
        <w:tc>
          <w:tcPr>
            <w:tcW w:w="84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Retained earnings</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5,484</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5,982</w:t>
            </w:r>
          </w:p>
        </w:tc>
        <w:tc>
          <w:tcPr>
            <w:tcW w:w="0" w:type="dxa"/>
            <w:vAlign w:val="bottom"/>
          </w:tcPr>
          <w:p>
            <w:pPr>
              <w:spacing w:after="0"/>
              <w:rPr>
                <w:sz w:val="1"/>
                <w:szCs w:val="1"/>
                <w:color w:val="auto"/>
              </w:rPr>
            </w:pPr>
          </w:p>
        </w:tc>
      </w:tr>
      <w:tr>
        <w:trPr>
          <w:trHeight w:val="16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Accumulated other comprehensive earnings</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(2,052)</w:t>
            </w:r>
          </w:p>
        </w:tc>
        <w:tc>
          <w:tcPr>
            <w:tcW w:w="0" w:type="dxa"/>
            <w:vAlign w:val="bottom"/>
          </w:tcPr>
          <w:p>
            <w:pPr>
              <w:spacing w:after="0"/>
              <w:rPr>
                <w:sz w:val="1"/>
                <w:szCs w:val="1"/>
                <w:color w:val="auto"/>
              </w:rPr>
            </w:pPr>
          </w:p>
        </w:tc>
      </w:tr>
      <w:tr>
        <w:trPr>
          <w:trHeight w:val="153"/>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Less: Treasury stock, 61 and 56 shares as of December 31, 2025 and 2024, at cost</w:t>
            </w: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(2,424)</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(2,152)</w:t>
            </w: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equity of Fidelity National Financial, Inc. common shareholders</w:t>
            </w:r>
          </w:p>
        </w:tc>
        <w:tc>
          <w:tcPr>
            <w:tcW w:w="8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7,424</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7,754</w:t>
            </w:r>
          </w:p>
        </w:tc>
        <w:tc>
          <w:tcPr>
            <w:tcW w:w="0" w:type="dxa"/>
            <w:vAlign w:val="bottom"/>
          </w:tcPr>
          <w:p>
            <w:pPr>
              <w:spacing w:after="0"/>
              <w:rPr>
                <w:sz w:val="1"/>
                <w:szCs w:val="1"/>
                <w:color w:val="auto"/>
              </w:rPr>
            </w:pPr>
          </w:p>
        </w:tc>
      </w:tr>
      <w:tr>
        <w:trPr>
          <w:trHeight w:val="150"/>
        </w:trPr>
        <w:tc>
          <w:tcPr>
            <w:tcW w:w="848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Total liabilities and equity</w:t>
            </w:r>
          </w:p>
        </w:tc>
        <w:tc>
          <w:tcPr>
            <w:tcW w:w="800" w:type="dxa"/>
            <w:vAlign w:val="bottom"/>
            <w:tcBorders>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10,420</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10,318</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SCHEDULE II</w:t>
            </w:r>
          </w:p>
        </w:tc>
      </w:tr>
      <w:tr>
        <w:trPr>
          <w:trHeight w:val="344"/>
        </w:trPr>
        <w:tc>
          <w:tcPr>
            <w:tcW w:w="4020" w:type="dxa"/>
            <w:vAlign w:val="bottom"/>
          </w:tcPr>
          <w:p>
            <w:pPr>
              <w:spacing w:after="0"/>
              <w:rPr>
                <w:sz w:val="24"/>
                <w:szCs w:val="24"/>
                <w:color w:val="auto"/>
              </w:rPr>
            </w:pPr>
          </w:p>
        </w:tc>
        <w:tc>
          <w:tcPr>
            <w:tcW w:w="4260" w:type="dxa"/>
            <w:vAlign w:val="bottom"/>
            <w:gridSpan w:val="2"/>
          </w:tcPr>
          <w:p>
            <w:pPr>
              <w:jc w:val="center"/>
              <w:ind w:right="96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4020" w:type="dxa"/>
            <w:vAlign w:val="bottom"/>
          </w:tcPr>
          <w:p>
            <w:pPr>
              <w:spacing w:after="0"/>
              <w:rPr>
                <w:sz w:val="16"/>
                <w:szCs w:val="16"/>
                <w:color w:val="auto"/>
              </w:rPr>
            </w:pPr>
          </w:p>
        </w:tc>
        <w:tc>
          <w:tcPr>
            <w:tcW w:w="4260" w:type="dxa"/>
            <w:vAlign w:val="bottom"/>
            <w:gridSpan w:val="2"/>
          </w:tcPr>
          <w:p>
            <w:pPr>
              <w:jc w:val="center"/>
              <w:ind w:right="963"/>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61"/>
        </w:trPr>
        <w:tc>
          <w:tcPr>
            <w:tcW w:w="8280" w:type="dxa"/>
            <w:vAlign w:val="bottom"/>
            <w:gridSpan w:val="3"/>
          </w:tcPr>
          <w:p>
            <w:pPr>
              <w:jc w:val="center"/>
              <w:ind w:left="2963"/>
              <w:spacing w:after="0"/>
              <w:rPr>
                <w:sz w:val="20"/>
                <w:szCs w:val="20"/>
                <w:color w:val="auto"/>
              </w:rPr>
            </w:pPr>
            <w:r>
              <w:rPr>
                <w:rFonts w:ascii="Times New Roman" w:cs="Times New Roman" w:eastAsia="Times New Roman" w:hAnsi="Times New Roman"/>
                <w:sz w:val="14"/>
                <w:szCs w:val="14"/>
                <w:b w:val="1"/>
                <w:bCs w:val="1"/>
                <w:color w:val="auto"/>
              </w:rPr>
              <w:t>STATEMENTS OF EARNINGS AND RETAINED EARNINGS</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0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4"/>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Pr>
          <w:p>
            <w:pPr>
              <w:spacing w:after="0"/>
              <w:rPr>
                <w:sz w:val="13"/>
                <w:szCs w:val="13"/>
                <w:color w:val="auto"/>
              </w:rPr>
            </w:pPr>
          </w:p>
        </w:tc>
      </w:tr>
      <w:tr>
        <w:trPr>
          <w:trHeight w:val="150"/>
        </w:trPr>
        <w:tc>
          <w:tcPr>
            <w:tcW w:w="40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0" w:type="dxa"/>
            <w:vAlign w:val="bottom"/>
            <w:gridSpan w:val="6"/>
          </w:tcPr>
          <w:p>
            <w:pPr>
              <w:jc w:val="center"/>
              <w:ind w:left="103"/>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fees and revenue</w:t>
            </w:r>
          </w:p>
        </w:tc>
        <w:tc>
          <w:tcPr>
            <w:tcW w:w="4260" w:type="dxa"/>
            <w:vAlign w:val="bottom"/>
            <w:gridSpan w:val="2"/>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3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and investment income and realized gains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40" w:type="dxa"/>
            <w:vAlign w:val="bottom"/>
          </w:tcPr>
          <w:p>
            <w:pPr>
              <w:spacing w:after="0"/>
              <w:rPr>
                <w:sz w:val="14"/>
                <w:szCs w:val="14"/>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Recognized gains and losses, net</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revenues</w:t>
            </w:r>
          </w:p>
        </w:tc>
        <w:tc>
          <w:tcPr>
            <w:tcW w:w="34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40" w:type="dxa"/>
            <w:vAlign w:val="bottom"/>
          </w:tcPr>
          <w:p>
            <w:pPr>
              <w:spacing w:after="0"/>
              <w:rPr>
                <w:sz w:val="13"/>
                <w:szCs w:val="13"/>
                <w:color w:val="auto"/>
              </w:rPr>
            </w:pPr>
          </w:p>
        </w:tc>
      </w:tr>
      <w:tr>
        <w:trPr>
          <w:trHeight w:val="140"/>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Personnel expenses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40" w:type="dxa"/>
            <w:vAlign w:val="bottom"/>
          </w:tcPr>
          <w:p>
            <w:pPr>
              <w:spacing w:after="0"/>
              <w:rPr>
                <w:sz w:val="14"/>
                <w:szCs w:val="14"/>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40" w:type="dxa"/>
            <w:vAlign w:val="bottom"/>
          </w:tcPr>
          <w:p>
            <w:pPr>
              <w:spacing w:after="0"/>
              <w:rPr>
                <w:sz w:val="13"/>
                <w:szCs w:val="13"/>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346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40" w:type="dxa"/>
            <w:vAlign w:val="bottom"/>
          </w:tcPr>
          <w:p>
            <w:pPr>
              <w:spacing w:after="0"/>
              <w:rPr>
                <w:sz w:val="14"/>
                <w:szCs w:val="14"/>
                <w:color w:val="auto"/>
              </w:rPr>
            </w:pPr>
          </w:p>
        </w:tc>
      </w:tr>
      <w:tr>
        <w:trPr>
          <w:trHeight w:val="144"/>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expenses</w:t>
            </w:r>
          </w:p>
        </w:tc>
        <w:tc>
          <w:tcPr>
            <w:tcW w:w="34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215</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198</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w:t>
            </w:r>
          </w:p>
        </w:tc>
        <w:tc>
          <w:tcPr>
            <w:tcW w:w="40" w:type="dxa"/>
            <w:vAlign w:val="bottom"/>
          </w:tcPr>
          <w:p>
            <w:pPr>
              <w:spacing w:after="0"/>
              <w:rPr>
                <w:sz w:val="12"/>
                <w:szCs w:val="12"/>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before income tax benefit and equity in earnings of subsidiaries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419</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 w:type="dxa"/>
            <w:vAlign w:val="bottom"/>
          </w:tcPr>
          <w:p>
            <w:pPr>
              <w:spacing w:after="0"/>
              <w:rPr>
                <w:sz w:val="13"/>
                <w:szCs w:val="13"/>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before equity in earnings of subsidiaries</w:t>
            </w:r>
          </w:p>
        </w:tc>
        <w:tc>
          <w:tcPr>
            <w:tcW w:w="3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40" w:type="dxa"/>
            <w:vAlign w:val="bottom"/>
          </w:tcPr>
          <w:p>
            <w:pPr>
              <w:spacing w:after="0"/>
              <w:rPr>
                <w:sz w:val="13"/>
                <w:szCs w:val="13"/>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Equity in earnings of subsidiaries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1,126</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1,332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40" w:type="dxa"/>
            <w:vAlign w:val="bottom"/>
          </w:tcPr>
          <w:p>
            <w:pPr>
              <w:spacing w:after="0"/>
              <w:rPr>
                <w:sz w:val="13"/>
                <w:szCs w:val="13"/>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3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40" w:type="dxa"/>
            <w:vAlign w:val="bottom"/>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0"/>
        </w:trPr>
        <w:tc>
          <w:tcPr>
            <w:tcW w:w="40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 beginning of year</w:t>
            </w:r>
          </w:p>
        </w:tc>
        <w:tc>
          <w:tcPr>
            <w:tcW w:w="4260" w:type="dxa"/>
            <w:vAlign w:val="bottom"/>
            <w:gridSpan w:val="2"/>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5,982</w:t>
            </w:r>
          </w:p>
        </w:tc>
        <w:tc>
          <w:tcPr>
            <w:tcW w:w="3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5,244</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5,225</w:t>
            </w:r>
          </w:p>
        </w:tc>
        <w:tc>
          <w:tcPr>
            <w:tcW w:w="40" w:type="dxa"/>
            <w:vAlign w:val="bottom"/>
          </w:tcPr>
          <w:p>
            <w:pPr>
              <w:spacing w:after="0"/>
              <w:rPr>
                <w:sz w:val="13"/>
                <w:szCs w:val="13"/>
                <w:color w:val="auto"/>
              </w:rPr>
            </w:pPr>
          </w:p>
        </w:tc>
      </w:tr>
      <w:tr>
        <w:trPr>
          <w:trHeight w:val="147"/>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declared</w:t>
            </w:r>
          </w:p>
        </w:tc>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40" w:type="dxa"/>
            <w:vAlign w:val="bottom"/>
          </w:tcPr>
          <w:p>
            <w:pPr>
              <w:spacing w:after="0"/>
              <w:rPr>
                <w:sz w:val="12"/>
                <w:szCs w:val="12"/>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Distribution of F&amp;G to FNF common shareholders</w:t>
            </w:r>
          </w:p>
        </w:tc>
        <w:tc>
          <w:tcPr>
            <w:tcW w:w="3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4"/>
                <w:szCs w:val="14"/>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earnings attributable to Fidelity National Financial, Inc. common shareholders</w:t>
            </w:r>
          </w:p>
        </w:tc>
        <w:tc>
          <w:tcPr>
            <w:tcW w:w="34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602</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40" w:type="dxa"/>
            <w:vAlign w:val="bottom"/>
          </w:tcPr>
          <w:p>
            <w:pPr>
              <w:spacing w:after="0"/>
              <w:rPr>
                <w:sz w:val="13"/>
                <w:szCs w:val="13"/>
                <w:color w:val="auto"/>
              </w:rPr>
            </w:pPr>
          </w:p>
        </w:tc>
      </w:tr>
      <w:tr>
        <w:trPr>
          <w:trHeight w:val="181"/>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Retained earnings, end of year</w:t>
            </w:r>
          </w:p>
        </w:tc>
        <w:tc>
          <w:tcPr>
            <w:tcW w:w="34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5,484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5,982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5,244</w:t>
            </w:r>
          </w:p>
        </w:tc>
        <w:tc>
          <w:tcPr>
            <w:tcW w:w="40" w:type="dxa"/>
            <w:vAlign w:val="bottom"/>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4640" w:type="dxa"/>
            <w:vAlign w:val="bottom"/>
            <w:gridSpan w:val="2"/>
            <w:vMerge w:val="restart"/>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46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4640" w:type="dxa"/>
            <w:vAlign w:val="bottom"/>
            <w:gridSpan w:val="2"/>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(Parent Company)</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4020" w:type="dxa"/>
            <w:vAlign w:val="bottom"/>
          </w:tcPr>
          <w:p>
            <w:pPr>
              <w:spacing w:after="0"/>
              <w:rPr>
                <w:sz w:val="24"/>
                <w:szCs w:val="24"/>
                <w:color w:val="auto"/>
              </w:rPr>
            </w:pPr>
          </w:p>
        </w:tc>
        <w:tc>
          <w:tcPr>
            <w:tcW w:w="4640" w:type="dxa"/>
            <w:vAlign w:val="bottom"/>
            <w:gridSpan w:val="2"/>
          </w:tcPr>
          <w:p>
            <w:pPr>
              <w:jc w:val="center"/>
              <w:ind w:right="1343"/>
              <w:spacing w:after="0"/>
              <w:rPr>
                <w:sz w:val="20"/>
                <w:szCs w:val="20"/>
                <w:color w:val="auto"/>
              </w:rPr>
            </w:pPr>
            <w:r>
              <w:rPr>
                <w:rFonts w:ascii="Times New Roman" w:cs="Times New Roman" w:eastAsia="Times New Roman" w:hAnsi="Times New Roman"/>
                <w:sz w:val="14"/>
                <w:szCs w:val="14"/>
                <w:b w:val="1"/>
                <w:bCs w:val="1"/>
                <w:color w:val="auto"/>
              </w:rPr>
              <w:t>STATEMENTS OF CASH FLOWS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6"/>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50"/>
        </w:trPr>
        <w:tc>
          <w:tcPr>
            <w:tcW w:w="40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4640" w:type="dxa"/>
            <w:vAlign w:val="bottom"/>
            <w:gridSpan w:val="2"/>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w:t>
            </w:r>
          </w:p>
        </w:tc>
        <w:tc>
          <w:tcPr>
            <w:tcW w:w="260" w:type="dxa"/>
            <w:vAlign w:val="bottom"/>
            <w:gridSpan w:val="3"/>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1,270</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Equity in earnings of subsidiaries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(606)</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Stock-based compensation</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change in income taxes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0" w:type="dxa"/>
            <w:vAlign w:val="bottom"/>
          </w:tcPr>
          <w:p>
            <w:pPr>
              <w:spacing w:after="0"/>
              <w:rPr>
                <w:sz w:val="1"/>
                <w:szCs w:val="1"/>
                <w:color w:val="auto"/>
              </w:rPr>
            </w:pPr>
          </w:p>
        </w:tc>
      </w:tr>
      <w:tr>
        <w:trPr>
          <w:trHeight w:val="153"/>
        </w:trPr>
        <w:tc>
          <w:tcPr>
            <w:tcW w:w="40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Net increase in prepaid expenses and other assets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Net increase in accounts payable and other accrued liabilities</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0" w:type="dxa"/>
            <w:vAlign w:val="bottom"/>
          </w:tcPr>
          <w:p>
            <w:pPr>
              <w:spacing w:after="0"/>
              <w:rPr>
                <w:sz w:val="1"/>
                <w:szCs w:val="1"/>
                <w:color w:val="auto"/>
              </w:rPr>
            </w:pPr>
          </w:p>
        </w:tc>
      </w:tr>
      <w:tr>
        <w:trPr>
          <w:trHeight w:val="144"/>
        </w:trPr>
        <w:tc>
          <w:tcPr>
            <w:tcW w:w="4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39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3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F&amp;G preferred stock</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(purchases of) proceeds from short-term investment activities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F&amp;G common stock</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Additions to notes receivable</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47"/>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Collection of notes receivable</w:t>
            </w:r>
          </w:p>
        </w:tc>
        <w:tc>
          <w:tcPr>
            <w:tcW w:w="3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Investments in subsidiaries</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4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39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39</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3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Dividends paid</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treasury stock</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Exercise of stock options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for shares withheld for taxes and in treasury</w:t>
            </w:r>
          </w:p>
        </w:tc>
        <w:tc>
          <w:tcPr>
            <w:tcW w:w="39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53"/>
        </w:trPr>
        <w:tc>
          <w:tcPr>
            <w:tcW w:w="4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Additional investments in non-controlling interests</w:t>
            </w:r>
          </w:p>
        </w:tc>
        <w:tc>
          <w:tcPr>
            <w:tcW w:w="3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65"/>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transfers from subsidiaries</w:t>
            </w:r>
          </w:p>
        </w:tc>
        <w:tc>
          <w:tcPr>
            <w:tcW w:w="39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689</w:t>
            </w:r>
          </w:p>
        </w:tc>
        <w:tc>
          <w:tcPr>
            <w:tcW w:w="0" w:type="dxa"/>
            <w:vAlign w:val="bottom"/>
          </w:tcPr>
          <w:p>
            <w:pPr>
              <w:spacing w:after="0"/>
              <w:rPr>
                <w:sz w:val="1"/>
                <w:szCs w:val="1"/>
                <w:color w:val="auto"/>
              </w:rPr>
            </w:pPr>
          </w:p>
        </w:tc>
      </w:tr>
      <w:tr>
        <w:trPr>
          <w:trHeight w:val="144"/>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39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0" w:type="dxa"/>
            <w:vAlign w:val="bottom"/>
          </w:tcPr>
          <w:p>
            <w:pPr>
              <w:spacing w:after="0"/>
              <w:rPr>
                <w:sz w:val="1"/>
                <w:szCs w:val="1"/>
                <w:color w:val="auto"/>
              </w:rPr>
            </w:pPr>
          </w:p>
        </w:tc>
      </w:tr>
      <w:tr>
        <w:trPr>
          <w:trHeight w:val="15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change in cash and cash equivalents</w:t>
            </w:r>
          </w:p>
        </w:tc>
        <w:tc>
          <w:tcPr>
            <w:tcW w:w="39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at beginning of year</w:t>
            </w:r>
          </w:p>
        </w:tc>
        <w:tc>
          <w:tcPr>
            <w:tcW w:w="39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534</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397</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406</w:t>
            </w:r>
          </w:p>
        </w:tc>
        <w:tc>
          <w:tcPr>
            <w:tcW w:w="0" w:type="dxa"/>
            <w:vAlign w:val="bottom"/>
          </w:tcPr>
          <w:p>
            <w:pPr>
              <w:spacing w:after="0"/>
              <w:rPr>
                <w:sz w:val="1"/>
                <w:szCs w:val="1"/>
                <w:color w:val="auto"/>
              </w:rPr>
            </w:pPr>
          </w:p>
        </w:tc>
      </w:tr>
      <w:tr>
        <w:trPr>
          <w:trHeight w:val="15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at end of year</w:t>
            </w:r>
          </w:p>
        </w:tc>
        <w:tc>
          <w:tcPr>
            <w:tcW w:w="39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5083175</wp:posOffset>
            </wp:positionH>
            <wp:positionV relativeFrom="paragraph">
              <wp:posOffset>-94615</wp:posOffset>
            </wp:positionV>
            <wp:extent cx="208153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9">
                      <a:extLst>
                        <a:ext uri="{28A0092B-C50C-407E-A947-70E740481C1C}"/>
                      </a:extLst>
                    </a:blip>
                    <a:srcRect/>
                    <a:stretch>
                      <a:fillRect/>
                    </a:stretch>
                  </pic:blipFill>
                  <pic:spPr bwMode="auto">
                    <a:xfrm>
                      <a:off x="0" y="0"/>
                      <a:ext cx="2081530" cy="698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4" w:right="3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  Summary of Significant Accounting Policies</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1100" w:type="dxa"/>
            <w:vAlign w:val="bottom"/>
            <w:gridSpan w:val="10"/>
          </w:tcPr>
          <w:p>
            <w:pPr>
              <w:ind w:left="40"/>
              <w:spacing w:after="0"/>
              <w:rPr>
                <w:sz w:val="20"/>
                <w:szCs w:val="20"/>
                <w:color w:val="auto"/>
              </w:rPr>
            </w:pPr>
            <w:r>
              <w:rPr>
                <w:rFonts w:ascii="Times New Roman" w:cs="Times New Roman" w:eastAsia="Times New Roman" w:hAnsi="Times New Roman"/>
                <w:sz w:val="14"/>
                <w:szCs w:val="14"/>
                <w:color w:val="auto"/>
              </w:rPr>
              <w:t>Fidelity National Financial, Inc. transacts substantially all of its business through its subsidiaries. The Parent Company Financial Statements should be read in connection with the aforementioned</w:t>
            </w:r>
          </w:p>
        </w:tc>
        <w:tc>
          <w:tcPr>
            <w:tcW w:w="0" w:type="dxa"/>
            <w:vAlign w:val="bottom"/>
          </w:tcPr>
          <w:p>
            <w:pPr>
              <w:spacing w:after="0"/>
              <w:rPr>
                <w:sz w:val="1"/>
                <w:szCs w:val="1"/>
                <w:color w:val="auto"/>
              </w:rPr>
            </w:pPr>
          </w:p>
        </w:tc>
      </w:tr>
      <w:tr>
        <w:trPr>
          <w:trHeight w:val="184"/>
        </w:trPr>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Consolidated Financial Statements and Notes thereto included elsewhere herein.</w:t>
            </w: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w:t>
            </w:r>
          </w:p>
        </w:tc>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Notes Payable</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7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Notes payable consist of the following:</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4.50%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3.40% Notes, net of discount</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2.45% Notes, net of discount</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3.20% Notes, net of discount</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Revolving credit facility</w:t>
            </w: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2,132</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w:t>
            </w:r>
          </w:p>
        </w:tc>
        <w:tc>
          <w:tcPr>
            <w:tcW w:w="75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80" w:type="dxa"/>
            <w:vAlign w:val="bottom"/>
            <w:vMerge w:val="continue"/>
          </w:tcPr>
          <w:p>
            <w:pPr>
              <w:spacing w:after="0"/>
              <w:rPr>
                <w:sz w:val="19"/>
                <w:szCs w:val="19"/>
                <w:color w:val="auto"/>
              </w:rPr>
            </w:pPr>
          </w:p>
        </w:tc>
        <w:tc>
          <w:tcPr>
            <w:tcW w:w="75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paid during the year:</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paid</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Income tax payments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w:t>
            </w:r>
          </w:p>
        </w:tc>
        <w:tc>
          <w:tcPr>
            <w:tcW w:w="7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Cash Dividends Received</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both"/>
        <w:ind w:firstLine="223"/>
        <w:spacing w:after="0" w:line="287" w:lineRule="auto"/>
        <w:rPr>
          <w:sz w:val="20"/>
          <w:szCs w:val="20"/>
          <w:color w:val="auto"/>
        </w:rPr>
      </w:pPr>
      <w:r>
        <w:rPr>
          <w:rFonts w:ascii="Times New Roman" w:cs="Times New Roman" w:eastAsia="Times New Roman" w:hAnsi="Times New Roman"/>
          <w:sz w:val="14"/>
          <w:szCs w:val="14"/>
          <w:color w:val="auto"/>
        </w:rPr>
        <w:t>We have received cash dividends from our title insurance underwriters and F&amp;G of $0.6 billion, $0.6 billion, and $0.4 billion during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Schedule III</w:t>
            </w:r>
          </w:p>
        </w:tc>
      </w:tr>
      <w:tr>
        <w:trPr>
          <w:trHeight w:val="233"/>
        </w:trPr>
        <w:tc>
          <w:tcPr>
            <w:tcW w:w="3500" w:type="dxa"/>
            <w:vAlign w:val="bottom"/>
          </w:tcPr>
          <w:p>
            <w:pPr>
              <w:spacing w:after="0"/>
              <w:rPr>
                <w:sz w:val="20"/>
                <w:szCs w:val="20"/>
                <w:color w:val="auto"/>
              </w:rPr>
            </w:pPr>
          </w:p>
        </w:tc>
        <w:tc>
          <w:tcPr>
            <w:tcW w:w="410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1"/>
        </w:trPr>
        <w:tc>
          <w:tcPr>
            <w:tcW w:w="3500" w:type="dxa"/>
            <w:vAlign w:val="bottom"/>
          </w:tcPr>
          <w:p>
            <w:pPr>
              <w:spacing w:after="0"/>
              <w:rPr>
                <w:sz w:val="24"/>
                <w:szCs w:val="24"/>
                <w:color w:val="auto"/>
              </w:rPr>
            </w:pPr>
          </w:p>
        </w:tc>
        <w:tc>
          <w:tcPr>
            <w:tcW w:w="410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F&amp;G Supplementary Insurance Information</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6"/>
        </w:trPr>
        <w:tc>
          <w:tcPr>
            <w:tcW w:w="3500" w:type="dxa"/>
            <w:vAlign w:val="bottom"/>
          </w:tcPr>
          <w:p>
            <w:pPr>
              <w:spacing w:after="0"/>
              <w:rPr>
                <w:sz w:val="16"/>
                <w:szCs w:val="16"/>
                <w:color w:val="auto"/>
              </w:rPr>
            </w:pPr>
          </w:p>
        </w:tc>
        <w:tc>
          <w:tcPr>
            <w:tcW w:w="410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35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0"/>
        </w:trPr>
        <w:tc>
          <w:tcPr>
            <w:tcW w:w="350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00" w:type="dxa"/>
            <w:vAlign w:val="bottom"/>
          </w:tcPr>
          <w:p>
            <w:pPr>
              <w:spacing w:after="0"/>
              <w:rPr>
                <w:sz w:val="13"/>
                <w:szCs w:val="13"/>
                <w:color w:val="auto"/>
              </w:rPr>
            </w:pP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20" w:type="dxa"/>
            <w:vAlign w:val="bottom"/>
          </w:tcPr>
          <w:p>
            <w:pPr>
              <w:spacing w:after="0"/>
              <w:rPr>
                <w:sz w:val="13"/>
                <w:szCs w:val="13"/>
                <w:color w:val="auto"/>
              </w:rPr>
            </w:pPr>
          </w:p>
        </w:tc>
      </w:tr>
      <w:tr>
        <w:trPr>
          <w:trHeight w:val="139"/>
        </w:trPr>
        <w:tc>
          <w:tcPr>
            <w:tcW w:w="35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F&amp;G Segment:</w:t>
            </w:r>
          </w:p>
        </w:tc>
        <w:tc>
          <w:tcPr>
            <w:tcW w:w="3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9"/>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acquisition costs</w:t>
            </w:r>
          </w:p>
        </w:tc>
        <w:tc>
          <w:tcPr>
            <w:tcW w:w="4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2,215</w:t>
            </w:r>
          </w:p>
        </w:tc>
        <w:tc>
          <w:tcPr>
            <w:tcW w:w="20" w:type="dxa"/>
            <w:vAlign w:val="bottom"/>
          </w:tcPr>
          <w:p>
            <w:pPr>
              <w:spacing w:after="0"/>
              <w:rPr>
                <w:sz w:val="14"/>
                <w:szCs w:val="14"/>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Future policy benefits, losses, claims and loss expenses</w:t>
            </w: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10,755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7,050</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policy claims and benefits payable</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0" w:type="dxa"/>
            <w:vAlign w:val="bottom"/>
          </w:tcPr>
          <w:p>
            <w:pPr>
              <w:spacing w:after="0"/>
              <w:rPr>
                <w:sz w:val="14"/>
                <w:szCs w:val="14"/>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Life insurance premiums and other fees</w:t>
            </w: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2,413</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and investment income</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2,211</w:t>
            </w:r>
          </w:p>
        </w:tc>
        <w:tc>
          <w:tcPr>
            <w:tcW w:w="20" w:type="dxa"/>
            <w:vAlign w:val="bottom"/>
          </w:tcPr>
          <w:p>
            <w:pPr>
              <w:spacing w:after="0"/>
              <w:rPr>
                <w:sz w:val="14"/>
                <w:szCs w:val="14"/>
                <w:color w:val="auto"/>
              </w:rPr>
            </w:pPr>
          </w:p>
        </w:tc>
      </w:tr>
      <w:tr>
        <w:trPr>
          <w:trHeight w:val="153"/>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Benefits, claims, losses and settlement expenses</w:t>
            </w: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(3,963)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(3,553)</w:t>
            </w:r>
          </w:p>
        </w:tc>
        <w:tc>
          <w:tcPr>
            <w:tcW w:w="20" w:type="dxa"/>
            <w:vAlign w:val="bottom"/>
          </w:tcPr>
          <w:p>
            <w:pPr>
              <w:spacing w:after="0"/>
              <w:rPr>
                <w:sz w:val="13"/>
                <w:szCs w:val="13"/>
                <w:color w:val="auto"/>
              </w:rPr>
            </w:pPr>
          </w:p>
        </w:tc>
      </w:tr>
      <w:tr>
        <w:trPr>
          <w:trHeight w:val="165"/>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Amortization of deferred policy acquisition costs</w:t>
            </w:r>
          </w:p>
        </w:tc>
        <w:tc>
          <w:tcPr>
            <w:tcW w:w="3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w:t>
            </w:r>
          </w:p>
        </w:tc>
        <w:tc>
          <w:tcPr>
            <w:tcW w:w="20" w:type="dxa"/>
            <w:vAlign w:val="bottom"/>
          </w:tcPr>
          <w:p>
            <w:pPr>
              <w:spacing w:after="0"/>
              <w:rPr>
                <w:sz w:val="14"/>
                <w:szCs w:val="14"/>
                <w:color w:val="auto"/>
              </w:rPr>
            </w:pPr>
          </w:p>
        </w:tc>
      </w:tr>
      <w:tr>
        <w:trPr>
          <w:trHeight w:val="147"/>
        </w:trPr>
        <w:tc>
          <w:tcPr>
            <w:tcW w:w="35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operating expenses, net of deferrals</w:t>
            </w:r>
          </w:p>
        </w:tc>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w:t>
            </w:r>
          </w:p>
        </w:tc>
        <w:tc>
          <w:tcPr>
            <w:tcW w:w="20" w:type="dxa"/>
            <w:vAlign w:val="bottom"/>
          </w:tcPr>
          <w:p>
            <w:pPr>
              <w:spacing w:after="0"/>
              <w:rPr>
                <w:sz w:val="12"/>
                <w:szCs w:val="12"/>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w w:val="98"/>
              </w:rPr>
              <w:t>Schedule IV</w:t>
            </w:r>
          </w:p>
        </w:tc>
        <w:tc>
          <w:tcPr>
            <w:tcW w:w="0" w:type="dxa"/>
            <w:vAlign w:val="bottom"/>
          </w:tcPr>
          <w:p>
            <w:pPr>
              <w:spacing w:after="0"/>
              <w:rPr>
                <w:sz w:val="1"/>
                <w:szCs w:val="1"/>
                <w:color w:val="auto"/>
              </w:rPr>
            </w:pPr>
          </w:p>
        </w:tc>
      </w:tr>
      <w:tr>
        <w:trPr>
          <w:trHeight w:val="297"/>
        </w:trPr>
        <w:tc>
          <w:tcPr>
            <w:tcW w:w="3100" w:type="dxa"/>
            <w:vAlign w:val="bottom"/>
          </w:tcPr>
          <w:p>
            <w:pPr>
              <w:spacing w:after="0"/>
              <w:rPr>
                <w:sz w:val="24"/>
                <w:szCs w:val="24"/>
                <w:color w:val="auto"/>
              </w:rPr>
            </w:pPr>
          </w:p>
        </w:tc>
        <w:tc>
          <w:tcPr>
            <w:tcW w:w="4240" w:type="dxa"/>
            <w:vAlign w:val="bottom"/>
            <w:gridSpan w:val="7"/>
          </w:tcPr>
          <w:p>
            <w:pPr>
              <w:jc w:val="center"/>
              <w:ind w:left="72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F&amp;G Reinsurance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2025</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10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13,148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11,842</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2,108</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 and other fees</w:t>
            </w: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657</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2024</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10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10,906</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9,536</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2,217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 and other fees</w:t>
            </w: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608</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2,860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1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For the Year Ended December 31, 2023</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Amount</w:t>
            </w:r>
          </w:p>
        </w:tc>
        <w:tc>
          <w:tcPr>
            <w:tcW w:w="180" w:type="dxa"/>
            <w:vAlign w:val="bottom"/>
          </w:tcPr>
          <w:p>
            <w:pPr>
              <w:spacing w:after="0"/>
              <w:rPr>
                <w:sz w:val="11"/>
                <w:szCs w:val="1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Ceded to other</w:t>
            </w:r>
          </w:p>
        </w:tc>
        <w:tc>
          <w:tcPr>
            <w:tcW w:w="100" w:type="dxa"/>
            <w:vAlign w:val="bottom"/>
          </w:tcPr>
          <w:p>
            <w:pPr>
              <w:spacing w:after="0"/>
              <w:rPr>
                <w:sz w:val="11"/>
                <w:szCs w:val="11"/>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Assumed from other</w:t>
            </w:r>
          </w:p>
        </w:tc>
        <w:tc>
          <w:tcPr>
            <w:tcW w:w="18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amount</w:t>
            </w:r>
          </w:p>
        </w:tc>
        <w:tc>
          <w:tcPr>
            <w:tcW w:w="0" w:type="dxa"/>
            <w:vAlign w:val="bottom"/>
          </w:tcPr>
          <w:p>
            <w:pPr>
              <w:spacing w:after="0"/>
              <w:rPr>
                <w:sz w:val="1"/>
                <w:szCs w:val="1"/>
                <w:color w:val="auto"/>
              </w:rPr>
            </w:pPr>
          </w:p>
        </w:tc>
      </w:tr>
      <w:tr>
        <w:trPr>
          <w:trHeight w:val="153"/>
        </w:trPr>
        <w:tc>
          <w:tcPr>
            <w:tcW w:w="310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00" w:type="dxa"/>
            <w:vAlign w:val="bottom"/>
          </w:tcPr>
          <w:p>
            <w:pPr>
              <w:spacing w:after="0"/>
              <w:rPr>
                <w:sz w:val="13"/>
                <w:szCs w:val="13"/>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companies</w:t>
            </w:r>
          </w:p>
        </w:tc>
        <w:tc>
          <w:tcPr>
            <w:tcW w:w="18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assumed to net</w:t>
            </w:r>
          </w:p>
        </w:tc>
        <w:tc>
          <w:tcPr>
            <w:tcW w:w="0" w:type="dxa"/>
            <w:vAlign w:val="bottom"/>
          </w:tcPr>
          <w:p>
            <w:pPr>
              <w:spacing w:after="0"/>
              <w:rPr>
                <w:sz w:val="1"/>
                <w:szCs w:val="1"/>
                <w:color w:val="auto"/>
              </w:rPr>
            </w:pPr>
          </w:p>
        </w:tc>
      </w:tr>
      <w:tr>
        <w:trPr>
          <w:trHeight w:val="154"/>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 insurance in force</w:t>
            </w:r>
          </w:p>
        </w:tc>
        <w:tc>
          <w:tcPr>
            <w:tcW w:w="1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8,448</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(1,436)</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7,012</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Premiums and other considerations:</w:t>
            </w:r>
          </w:p>
        </w:tc>
        <w:tc>
          <w:tcPr>
            <w:tcW w:w="1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Traditional life insurance premiums</w:t>
            </w: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Pr>
          <w:p>
            <w:pPr>
              <w:spacing w:after="0"/>
              <w:rPr>
                <w:sz w:val="12"/>
                <w:szCs w:val="12"/>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2"/>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Life-contingent PRT premiums</w:t>
            </w:r>
          </w:p>
        </w:tc>
        <w:tc>
          <w:tcPr>
            <w:tcW w:w="1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1,964</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100" w:type="dxa"/>
            <w:vAlign w:val="bottom"/>
          </w:tcPr>
          <w:p>
            <w:pPr>
              <w:spacing w:after="0"/>
              <w:rPr>
                <w:sz w:val="20"/>
                <w:szCs w:val="20"/>
                <w:color w:val="auto"/>
              </w:rPr>
            </w:pPr>
            <w:r>
              <w:rPr>
                <w:rFonts w:ascii="Times New Roman" w:cs="Times New Roman" w:eastAsia="Times New Roman" w:hAnsi="Times New Roman"/>
                <w:sz w:val="11"/>
                <w:szCs w:val="11"/>
                <w:color w:val="auto"/>
              </w:rPr>
              <w:t>Annuity product charges and other fees</w:t>
            </w: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406</w:t>
            </w:r>
          </w:p>
        </w:tc>
        <w:tc>
          <w:tcPr>
            <w:tcW w:w="100" w:type="dxa"/>
            <w:vAlign w:val="bottom"/>
          </w:tcPr>
          <w:p>
            <w:pPr>
              <w:spacing w:after="0"/>
              <w:rPr>
                <w:sz w:val="13"/>
                <w:szCs w:val="13"/>
                <w:color w:val="auto"/>
              </w:rPr>
            </w:pPr>
          </w:p>
        </w:tc>
        <w:tc>
          <w:tcPr>
            <w:tcW w:w="1320" w:type="dxa"/>
            <w:vAlign w:val="bottom"/>
          </w:tcPr>
          <w:p>
            <w:pPr>
              <w:ind w:left="10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premiums and other considerations</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2,413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Report of Independent Registered Public Accounting Firm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206</w:t>
      </w:r>
    </w:p>
    <w:p>
      <w:pPr>
        <w:sectPr>
          <w:pgSz w:w="11900" w:h="16838" w:orient="portrait"/>
          <w:cols w:equalWidth="0" w:num="1">
            <w:col w:w="11280"/>
          </w:cols>
          <w:pgMar w:left="300" w:top="125" w:right="319" w:bottom="1440" w:gutter="0" w:footer="0" w:header="0"/>
        </w:sectPr>
      </w:pPr>
    </w:p>
    <w:bookmarkStart w:id="208" w:name="page209"/>
    <w:bookmarkEnd w:id="208"/>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 and Performance-Based)</w:t>
      </w:r>
    </w:p>
    <w:p>
      <w:pPr>
        <w:spacing w:after="0" w:line="190"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FF0000"/>
              </w:rPr>
              <w:t>Name of Grantee</w:t>
            </w:r>
            <w:r>
              <w:rPr>
                <w:rFonts w:ascii="Times New Roman" w:cs="Times New Roman" w:eastAsia="Times New Roman" w:hAnsi="Times New Roman"/>
                <w:sz w:val="17"/>
                <w:szCs w:val="17"/>
                <w:color w:val="000000"/>
              </w:rPr>
              <w:t>:</w:t>
            </w:r>
          </w:p>
        </w:tc>
        <w:tc>
          <w:tcPr>
            <w:tcW w:w="604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FF0000"/>
              </w:rPr>
              <w:t>Number of Shares</w:t>
            </w:r>
            <w:r>
              <w:rPr>
                <w:rFonts w:ascii="Times New Roman" w:cs="Times New Roman" w:eastAsia="Times New Roman" w:hAnsi="Times New Roman"/>
                <w:sz w:val="17"/>
                <w:szCs w:val="17"/>
                <w:color w:val="000000"/>
              </w:rPr>
              <w:t>:</w:t>
            </w:r>
          </w:p>
        </w:tc>
        <w:tc>
          <w:tcPr>
            <w:tcW w:w="6040" w:type="dxa"/>
            <w:vAlign w:val="bottom"/>
            <w:tcBorders>
              <w:bottom w:val="single" w:sz="8" w:color="auto"/>
              <w:right w:val="single" w:sz="8" w:color="auto"/>
            </w:tcBorders>
          </w:tcPr>
          <w:p>
            <w:pPr>
              <w:spacing w:after="0"/>
              <w:rPr>
                <w:sz w:val="19"/>
                <w:szCs w:val="19"/>
                <w:color w:val="auto"/>
              </w:rPr>
            </w:pPr>
          </w:p>
        </w:tc>
      </w:tr>
      <w:tr>
        <w:trPr>
          <w:trHeight w:val="224"/>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40" w:type="dxa"/>
            <w:vAlign w:val="bottom"/>
            <w:tcBorders>
              <w:bottom w:val="single" w:sz="8" w:color="auto"/>
              <w:right w:val="single" w:sz="8" w:color="auto"/>
            </w:tcBorders>
          </w:tcPr>
          <w:p>
            <w:pPr>
              <w:jc w:val="right"/>
              <w:ind w:right="4515"/>
              <w:spacing w:after="0"/>
              <w:rPr>
                <w:sz w:val="20"/>
                <w:szCs w:val="20"/>
                <w:color w:val="auto"/>
              </w:rPr>
            </w:pPr>
            <w:r>
              <w:rPr>
                <w:rFonts w:ascii="Times New Roman" w:cs="Times New Roman" w:eastAsia="Times New Roman" w:hAnsi="Times New Roman"/>
                <w:sz w:val="17"/>
                <w:szCs w:val="17"/>
                <w:color w:val="FF0000"/>
              </w:rPr>
              <w:t>November 10, 2025</w:t>
            </w:r>
          </w:p>
        </w:tc>
      </w:tr>
      <w:tr>
        <w:trPr>
          <w:trHeight w:val="210"/>
        </w:trPr>
        <w:tc>
          <w:tcPr>
            <w:tcW w:w="52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02"/>
        </w:trPr>
        <w:tc>
          <w:tcPr>
            <w:tcW w:w="5260" w:type="dxa"/>
            <w:vAlign w:val="bottom"/>
            <w:tcBorders>
              <w:left w:val="single" w:sz="8" w:color="auto"/>
              <w:right w:val="single" w:sz="8" w:color="auto"/>
            </w:tcBorders>
          </w:tcPr>
          <w:p>
            <w:pPr>
              <w:spacing w:after="0"/>
              <w:rPr>
                <w:sz w:val="17"/>
                <w:szCs w:val="17"/>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12"/>
        </w:trPr>
        <w:tc>
          <w:tcPr>
            <w:tcW w:w="5260" w:type="dxa"/>
            <w:vAlign w:val="bottom"/>
            <w:tcBorders>
              <w:left w:val="single" w:sz="8" w:color="auto"/>
              <w:right w:val="single" w:sz="8" w:color="auto"/>
            </w:tcBorders>
          </w:tcPr>
          <w:p>
            <w:pPr>
              <w:spacing w:after="0"/>
              <w:rPr>
                <w:sz w:val="18"/>
                <w:szCs w:val="18"/>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02"/>
        </w:trPr>
        <w:tc>
          <w:tcPr>
            <w:tcW w:w="5260" w:type="dxa"/>
            <w:vAlign w:val="bottom"/>
            <w:tcBorders>
              <w:left w:val="single" w:sz="8" w:color="auto"/>
              <w:right w:val="single" w:sz="8" w:color="auto"/>
            </w:tcBorders>
          </w:tcPr>
          <w:p>
            <w:pPr>
              <w:spacing w:after="0"/>
              <w:rPr>
                <w:sz w:val="17"/>
                <w:szCs w:val="17"/>
                <w:color w:val="auto"/>
              </w:rPr>
            </w:pPr>
          </w:p>
        </w:tc>
        <w:tc>
          <w:tcPr>
            <w:tcW w:w="6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respect to one third of the shares on each anniversary of the Effective Date of Grant and</w:t>
            </w:r>
          </w:p>
        </w:tc>
      </w:tr>
      <w:tr>
        <w:trPr>
          <w:trHeight w:val="226"/>
        </w:trPr>
        <w:tc>
          <w:tcPr>
            <w:tcW w:w="5260" w:type="dxa"/>
            <w:vAlign w:val="bottom"/>
            <w:tcBorders>
              <w:left w:val="single" w:sz="8" w:color="auto"/>
              <w:bottom w:val="single" w:sz="8" w:color="auto"/>
              <w:right w:val="single" w:sz="8" w:color="auto"/>
            </w:tcBorders>
          </w:tcPr>
          <w:p>
            <w:pPr>
              <w:spacing w:after="0"/>
              <w:rPr>
                <w:sz w:val="19"/>
                <w:szCs w:val="19"/>
                <w:color w:val="auto"/>
              </w:rPr>
            </w:pPr>
          </w:p>
        </w:tc>
        <w:tc>
          <w:tcPr>
            <w:tcW w:w="6040" w:type="dxa"/>
            <w:vAlign w:val="bottom"/>
            <w:tcBorders>
              <w:bottom w:val="single" w:sz="8" w:color="auto"/>
              <w:right w:val="single" w:sz="8" w:color="auto"/>
            </w:tcBorders>
          </w:tcPr>
          <w:p>
            <w:pPr>
              <w:jc w:val="right"/>
              <w:ind w:right="1055"/>
              <w:spacing w:after="0"/>
              <w:rPr>
                <w:sz w:val="20"/>
                <w:szCs w:val="20"/>
                <w:color w:val="auto"/>
              </w:rPr>
            </w:pPr>
            <w:r>
              <w:rPr>
                <w:rFonts w:ascii="Times New Roman" w:cs="Times New Roman" w:eastAsia="Times New Roman" w:hAnsi="Times New Roman"/>
                <w:sz w:val="17"/>
                <w:szCs w:val="17"/>
                <w:color w:val="auto"/>
                <w:w w:val="99"/>
              </w:rPr>
              <w:t>satisfaction of the Performance Restriction as set forth on Exhibit A of t</w:t>
            </w:r>
          </w:p>
        </w:tc>
      </w:tr>
    </w:tbl>
    <w:p>
      <w:pPr>
        <w:spacing w:after="0" w:line="200" w:lineRule="exact"/>
        <w:rPr>
          <w:sz w:val="20"/>
          <w:szCs w:val="20"/>
          <w:color w:val="auto"/>
        </w:rPr>
      </w:pPr>
    </w:p>
    <w:p>
      <w:pPr>
        <w:spacing w:after="0" w:line="246" w:lineRule="exact"/>
        <w:rPr>
          <w:sz w:val="20"/>
          <w:szCs w:val="20"/>
          <w:color w:val="auto"/>
        </w:rPr>
      </w:pPr>
    </w:p>
    <w:p>
      <w:pPr>
        <w:jc w:val="both"/>
        <w:ind w:right="20" w:firstLine="446"/>
        <w:spacing w:after="0" w:line="267"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300"/>
          </w:cols>
          <w:pgMar w:left="300" w:top="1181" w:right="299" w:bottom="1440" w:gutter="0" w:footer="0" w:header="0"/>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p>
    <w:p>
      <w:pPr>
        <w:jc w:val="center"/>
        <w:spacing w:after="0"/>
        <w:rPr>
          <w:sz w:val="20"/>
          <w:szCs w:val="20"/>
          <w:color w:val="auto"/>
        </w:rPr>
      </w:pPr>
      <w:r>
        <w:rPr>
          <w:rFonts w:ascii="Times New Roman" w:cs="Times New Roman" w:eastAsia="Times New Roman" w:hAnsi="Times New Roman"/>
          <w:sz w:val="17"/>
          <w:szCs w:val="17"/>
          <w:b w:val="1"/>
          <w:bCs w:val="1"/>
          <w:color w:val="auto"/>
        </w:rPr>
        <w:t>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6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 and Performance-Based)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28" w:lineRule="exact"/>
        <w:rPr>
          <w:sz w:val="20"/>
          <w:szCs w:val="20"/>
          <w:color w:val="auto"/>
        </w:rPr>
      </w:pPr>
    </w:p>
    <w:p>
      <w:pPr>
        <w:jc w:val="both"/>
        <w:ind w:firstLine="5"/>
        <w:spacing w:after="0" w:line="251" w:lineRule="auto"/>
        <w:tabs>
          <w:tab w:leader="none" w:pos="24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54" w:lineRule="auto"/>
        <w:tabs>
          <w:tab w:leader="none" w:pos="25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3" w:lineRule="exact"/>
        <w:rPr>
          <w:sz w:val="20"/>
          <w:szCs w:val="20"/>
          <w:color w:val="auto"/>
        </w:rPr>
      </w:pPr>
    </w:p>
    <w:p>
      <w:pPr>
        <w:ind w:left="240" w:hanging="235"/>
        <w:spacing w:after="0"/>
        <w:tabs>
          <w:tab w:leader="none" w:pos="24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jc w:val="both"/>
        <w:ind w:firstLine="514"/>
        <w:spacing w:after="0" w:line="238" w:lineRule="auto"/>
        <w:tabs>
          <w:tab w:leader="none" w:pos="727"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Times New Roman" w:cs="Times New Roman" w:eastAsia="Times New Roman" w:hAnsi="Times New Roman"/>
          <w:sz w:val="17"/>
          <w:szCs w:val="17"/>
          <w:color w:val="auto"/>
        </w:rPr>
      </w:pPr>
    </w:p>
    <w:p>
      <w:pPr>
        <w:jc w:val="both"/>
        <w:ind w:firstLine="514"/>
        <w:spacing w:after="0"/>
        <w:tabs>
          <w:tab w:leader="none" w:pos="764"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80"/>
        <w:spacing w:after="0" w:line="225" w:lineRule="auto"/>
        <w:rPr>
          <w:sz w:val="20"/>
          <w:szCs w:val="20"/>
          <w:color w:val="auto"/>
        </w:rPr>
      </w:pPr>
      <w:r>
        <w:rPr>
          <w:rFonts w:ascii="Times New Roman" w:cs="Times New Roman" w:eastAsia="Times New Roman" w:hAnsi="Times New Roman"/>
          <w:sz w:val="17"/>
          <w:szCs w:val="17"/>
          <w:color w:val="auto"/>
        </w:rPr>
        <w:t>(A x B) – C, where</w:t>
      </w:r>
    </w:p>
    <w:p>
      <w:pPr>
        <w:ind w:left="1980"/>
        <w:spacing w:after="0" w:line="234" w:lineRule="auto"/>
        <w:rPr>
          <w:sz w:val="20"/>
          <w:szCs w:val="20"/>
          <w:color w:val="auto"/>
        </w:rPr>
      </w:pPr>
      <w:r>
        <w:rPr>
          <w:rFonts w:ascii="Times New Roman" w:cs="Times New Roman" w:eastAsia="Times New Roman" w:hAnsi="Times New Roman"/>
          <w:sz w:val="17"/>
          <w:szCs w:val="17"/>
          <w:color w:val="auto"/>
        </w:rPr>
        <w:t>A = the total number of Shares granted under this Agreement,</w:t>
      </w:r>
    </w:p>
    <w:p>
      <w:pPr>
        <w:spacing w:after="0" w:line="1" w:lineRule="exact"/>
        <w:rPr>
          <w:sz w:val="20"/>
          <w:szCs w:val="20"/>
          <w:color w:val="auto"/>
        </w:rPr>
      </w:pPr>
    </w:p>
    <w:p>
      <w:pPr>
        <w:ind w:left="1980" w:right="340"/>
        <w:spacing w:after="0" w:line="241" w:lineRule="auto"/>
        <w:rPr>
          <w:sz w:val="20"/>
          <w:szCs w:val="20"/>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17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 w:lineRule="exact"/>
        <w:rPr>
          <w:sz w:val="20"/>
          <w:szCs w:val="20"/>
          <w:color w:val="auto"/>
        </w:rPr>
      </w:pPr>
    </w:p>
    <w:p>
      <w:pPr>
        <w:jc w:val="both"/>
        <w:ind w:firstLine="514"/>
        <w:spacing w:after="0" w:line="244" w:lineRule="auto"/>
        <w:tabs>
          <w:tab w:leader="none" w:pos="832"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w:t>
      </w:r>
    </w:p>
    <w:p>
      <w:pPr>
        <w:sectPr>
          <w:pgSz w:w="11900" w:h="16838" w:orient="portrait"/>
          <w:cols w:equalWidth="0" w:num="1">
            <w:col w:w="11280"/>
          </w:cols>
          <w:pgMar w:left="300" w:top="1324" w:right="319" w:bottom="1440" w:gutter="0" w:footer="0" w:header="0"/>
        </w:sectPr>
      </w:pPr>
    </w:p>
    <w:bookmarkStart w:id="210" w:name="page211"/>
    <w:bookmarkEnd w:id="210"/>
    <w:p>
      <w:pPr>
        <w:spacing w:after="0" w:line="251" w:lineRule="auto"/>
        <w:rPr>
          <w:sz w:val="20"/>
          <w:szCs w:val="20"/>
          <w:color w:val="auto"/>
        </w:rPr>
      </w:pPr>
      <w:r>
        <w:rPr>
          <w:rFonts w:ascii="Times New Roman" w:cs="Times New Roman" w:eastAsia="Times New Roman" w:hAnsi="Times New Roman"/>
          <w:sz w:val="17"/>
          <w:szCs w:val="17"/>
          <w:color w:val="auto"/>
        </w:rPr>
        <w:t>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1" w:lineRule="exact"/>
        <w:rPr>
          <w:sz w:val="20"/>
          <w:szCs w:val="20"/>
          <w:color w:val="auto"/>
        </w:rPr>
      </w:pPr>
    </w:p>
    <w:p>
      <w:pPr>
        <w:ind w:firstLine="514"/>
        <w:spacing w:after="0"/>
        <w:tabs>
          <w:tab w:leader="none" w:pos="823"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 w:lineRule="exact"/>
        <w:rPr>
          <w:rFonts w:ascii="Times New Roman" w:cs="Times New Roman" w:eastAsia="Times New Roman" w:hAnsi="Times New Roman"/>
          <w:sz w:val="17"/>
          <w:szCs w:val="17"/>
          <w:color w:val="auto"/>
        </w:rPr>
      </w:pPr>
    </w:p>
    <w:p>
      <w:pPr>
        <w:ind w:firstLine="5"/>
        <w:spacing w:after="0" w:line="234" w:lineRule="auto"/>
        <w:tabs>
          <w:tab w:leader="none" w:pos="282"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tabs>
          <w:tab w:leader="none" w:pos="231"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41" w:lineRule="auto"/>
        <w:tabs>
          <w:tab w:leader="none" w:pos="25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ind w:right="140"/>
        <w:spacing w:after="0" w:line="232"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ectPr>
          <w:pgSz w:w="11900" w:h="16838" w:orient="portrait"/>
          <w:cols w:equalWidth="0" w:num="1">
            <w:col w:w="11280"/>
          </w:cols>
          <w:pgMar w:left="300" w:top="1137" w:right="319" w:bottom="1440" w:gutter="0" w:footer="0" w:header="0"/>
        </w:sectPr>
      </w:pPr>
    </w:p>
    <w:bookmarkStart w:id="211" w:name="page212"/>
    <w:bookmarkEnd w:id="211"/>
    <w:p>
      <w:pPr>
        <w:ind w:right="80"/>
        <w:spacing w:after="0" w:line="239"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7" w:lineRule="exact"/>
        <w:rPr>
          <w:sz w:val="20"/>
          <w:szCs w:val="20"/>
          <w:color w:val="auto"/>
        </w:rPr>
      </w:pPr>
    </w:p>
    <w:p>
      <w:pPr>
        <w:ind w:left="240" w:hanging="235"/>
        <w:spacing w:after="0"/>
        <w:tabs>
          <w:tab w:leader="none" w:pos="24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spacing w:after="0" w:line="5"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ind w:right="140" w:firstLine="5"/>
        <w:spacing w:after="0" w:line="227" w:lineRule="auto"/>
        <w:tabs>
          <w:tab w:leader="none" w:pos="231"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tabs>
          <w:tab w:leader="none" w:pos="260" w:val="left"/>
        </w:tabs>
        <w:numPr>
          <w:ilvl w:val="0"/>
          <w:numId w:val="6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17" w:lineRule="exact"/>
        <w:rPr>
          <w:sz w:val="20"/>
          <w:szCs w:val="20"/>
          <w:color w:val="auto"/>
        </w:rPr>
      </w:pPr>
    </w:p>
    <w:p>
      <w:pPr>
        <w:jc w:val="both"/>
        <w:ind w:firstLine="5"/>
        <w:spacing w:after="0" w:line="239" w:lineRule="auto"/>
        <w:tabs>
          <w:tab w:leader="none" w:pos="24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5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spacing w:after="0" w:line="2" w:lineRule="exact"/>
        <w:rPr>
          <w:rFonts w:ascii="Times New Roman" w:cs="Times New Roman" w:eastAsia="Times New Roman" w:hAnsi="Times New Roman"/>
          <w:sz w:val="17"/>
          <w:szCs w:val="17"/>
          <w:b w:val="1"/>
          <w:bCs w:val="1"/>
          <w:color w:val="auto"/>
        </w:rPr>
      </w:pPr>
    </w:p>
    <w:p>
      <w:pPr>
        <w:jc w:val="both"/>
        <w:ind w:firstLine="5"/>
        <w:spacing w:after="0" w:line="238" w:lineRule="auto"/>
        <w:tabs>
          <w:tab w:leader="none" w:pos="231"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 w:lineRule="exact"/>
        <w:rPr>
          <w:rFonts w:ascii="Times New Roman" w:cs="Times New Roman" w:eastAsia="Times New Roman" w:hAnsi="Times New Roman"/>
          <w:sz w:val="17"/>
          <w:szCs w:val="17"/>
          <w:b w:val="1"/>
          <w:bCs w:val="1"/>
          <w:color w:val="auto"/>
        </w:rPr>
      </w:pPr>
    </w:p>
    <w:p>
      <w:pPr>
        <w:ind w:firstLine="5"/>
        <w:spacing w:after="0" w:line="254" w:lineRule="auto"/>
        <w:tabs>
          <w:tab w:leader="none" w:pos="25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w:t>
      </w:r>
    </w:p>
    <w:p>
      <w:pPr>
        <w:sectPr>
          <w:pgSz w:w="11900" w:h="16838" w:orient="portrait"/>
          <w:cols w:equalWidth="0" w:num="1">
            <w:col w:w="11280"/>
          </w:cols>
          <w:pgMar w:left="300" w:top="1137" w:right="3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color w:val="auto"/>
        </w:rPr>
        <w:t>Agreement or the Notice of Restricted Stock Grant to be governed by or construed in accordance with the substantive law of another jurisdiction.</w:t>
      </w:r>
    </w:p>
    <w:p>
      <w:pPr>
        <w:spacing w:after="0" w:line="13" w:lineRule="exact"/>
        <w:rPr>
          <w:sz w:val="20"/>
          <w:szCs w:val="20"/>
          <w:color w:val="auto"/>
        </w:rPr>
      </w:pPr>
    </w:p>
    <w:p>
      <w:pPr>
        <w:jc w:val="both"/>
        <w:ind w:firstLine="5"/>
        <w:spacing w:after="0" w:line="239" w:lineRule="auto"/>
        <w:tabs>
          <w:tab w:leader="none" w:pos="231"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2" w:lineRule="exact"/>
        <w:rPr>
          <w:rFonts w:ascii="Times New Roman" w:cs="Times New Roman" w:eastAsia="Times New Roman" w:hAnsi="Times New Roman"/>
          <w:sz w:val="17"/>
          <w:szCs w:val="17"/>
          <w:b w:val="1"/>
          <w:bCs w:val="1"/>
          <w:color w:val="auto"/>
        </w:rPr>
      </w:pPr>
    </w:p>
    <w:p>
      <w:pPr>
        <w:ind w:firstLine="5"/>
        <w:spacing w:after="0"/>
        <w:tabs>
          <w:tab w:leader="none" w:pos="212"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firstLine="5"/>
        <w:spacing w:after="0"/>
        <w:tabs>
          <w:tab w:leader="none" w:pos="24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jc w:val="both"/>
        <w:ind w:firstLine="5"/>
        <w:spacing w:after="0" w:line="244" w:lineRule="auto"/>
        <w:tabs>
          <w:tab w:leader="none" w:pos="203"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pacing w:after="0" w:line="200" w:lineRule="exact"/>
        <w:rPr>
          <w:sz w:val="20"/>
          <w:szCs w:val="20"/>
          <w:color w:val="auto"/>
        </w:rPr>
      </w:pPr>
    </w:p>
    <w:p>
      <w:pPr>
        <w:spacing w:after="0" w:line="33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3"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Vesting and Restrictions</w:t>
      </w:r>
    </w:p>
    <w:p>
      <w:pPr>
        <w:ind w:left="520"/>
        <w:spacing w:after="0"/>
        <w:rPr>
          <w:sz w:val="20"/>
          <w:szCs w:val="20"/>
          <w:color w:val="auto"/>
        </w:rPr>
      </w:pPr>
      <w:r>
        <w:rPr>
          <w:rFonts w:ascii="Times New Roman" w:cs="Times New Roman" w:eastAsia="Times New Roman" w:hAnsi="Times New Roman"/>
          <w:sz w:val="17"/>
          <w:szCs w:val="17"/>
          <w:color w:val="auto"/>
        </w:rPr>
        <w:t>This grant is subject to both a Performance Restriction and a Time-Based Restriction, as described below (collectively, the “Period of Restriction”).</w:t>
      </w:r>
    </w:p>
    <w:p>
      <w:pPr>
        <w:spacing w:after="0" w:line="16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7"/>
          <w:szCs w:val="17"/>
          <w:b w:val="1"/>
          <w:bCs w:val="1"/>
          <w:color w:val="auto"/>
        </w:rPr>
        <w:t>Performance Restriction</w:t>
      </w:r>
    </w:p>
    <w:p>
      <w:pPr>
        <w:spacing w:after="0" w:line="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7"/>
          <w:szCs w:val="17"/>
          <w:color w:val="auto"/>
        </w:rPr>
        <w:t xml:space="preserve">In order for the Restricted Stock to vest, the </w:t>
      </w:r>
      <w:r>
        <w:rPr>
          <w:rFonts w:ascii="Times New Roman" w:cs="Times New Roman" w:eastAsia="Times New Roman" w:hAnsi="Times New Roman"/>
          <w:sz w:val="15"/>
          <w:szCs w:val="15"/>
          <w:color w:val="auto"/>
        </w:rPr>
        <w:t>Compensation Committee of the Board of Directors of the Company (the “Committee”) must determine that the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 xml:space="preserve">has achieved </w:t>
      </w:r>
      <w:r>
        <w:rPr>
          <w:rFonts w:ascii="Times New Roman" w:cs="Times New Roman" w:eastAsia="Times New Roman" w:hAnsi="Times New Roman"/>
          <w:sz w:val="16"/>
          <w:szCs w:val="16"/>
          <w:color w:val="auto"/>
        </w:rPr>
        <w:t>11</w:t>
      </w:r>
      <w:r>
        <w:rPr>
          <w:rFonts w:ascii="Times New Roman" w:cs="Times New Roman" w:eastAsia="Times New Roman" w:hAnsi="Times New Roman"/>
          <w:sz w:val="15"/>
          <w:szCs w:val="15"/>
          <w:color w:val="auto"/>
        </w:rPr>
        <w:t>% or greater Title Operating Margin (as defined below) in at least two calendar quarters of any of the next five calendar quarters starting October 1, 2025 (the “Performance Restriction”). The f</w:t>
      </w:r>
      <w:r>
        <w:rPr>
          <w:rFonts w:ascii="Times New Roman" w:cs="Times New Roman" w:eastAsia="Times New Roman" w:hAnsi="Times New Roman"/>
          <w:sz w:val="16"/>
          <w:szCs w:val="16"/>
          <w:color w:val="auto"/>
        </w:rPr>
        <w:t>i</w:t>
      </w:r>
      <w:r>
        <w:rPr>
          <w:rFonts w:ascii="Times New Roman" w:cs="Times New Roman" w:eastAsia="Times New Roman" w:hAnsi="Times New Roman"/>
          <w:sz w:val="15"/>
          <w:szCs w:val="15"/>
          <w:color w:val="auto"/>
        </w:rPr>
        <w:t xml:space="preserve">ve calendar quarters starting October 1, 2025 and ending December 31, 2026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recognized gains and losses </w:t>
      </w:r>
      <w:r>
        <w:rPr>
          <w:rFonts w:ascii="Times New Roman" w:cs="Times New Roman" w:eastAsia="Times New Roman" w:hAnsi="Times New Roman"/>
          <w:sz w:val="16"/>
          <w:szCs w:val="16"/>
          <w:color w:val="auto"/>
        </w:rPr>
        <w:t>and</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non-budgeted discontinued operations. The Committee will evaluate whether the Title Operating Margin has been achieved following the completion of each calendar quarter during the Measurement Period.</w:t>
      </w:r>
    </w:p>
    <w:p>
      <w:pPr>
        <w:sectPr>
          <w:pgSz w:w="11900" w:h="16838" w:orient="portrait"/>
          <w:cols w:equalWidth="0" w:num="1">
            <w:col w:w="11280"/>
          </w:cols>
          <w:pgMar w:left="300" w:top="1137" w:right="319" w:bottom="1440" w:gutter="0" w:footer="0" w:header="0"/>
        </w:sectPr>
      </w:pPr>
    </w:p>
    <w:bookmarkStart w:id="213" w:name="page214"/>
    <w:bookmarkEnd w:id="213"/>
    <w:tbl>
      <w:tblPr>
        <w:tblLayout w:type="fixed"/>
        <w:tblInd w:w="10" w:type="dxa"/>
        <w:tblCellMar>
          <w:top w:w="0" w:type="dxa"/>
          <w:left w:w="0" w:type="dxa"/>
          <w:bottom w:w="0" w:type="dxa"/>
          <w:right w:w="0" w:type="dxa"/>
        </w:tblCellMar>
      </w:tblPr>
      <w:tr>
        <w:trPr>
          <w:trHeight w:val="223"/>
        </w:trPr>
        <w:tc>
          <w:tcPr>
            <w:tcW w:w="4400" w:type="dxa"/>
            <w:vAlign w:val="bottom"/>
          </w:tcPr>
          <w:p>
            <w:pPr>
              <w:spacing w:after="0"/>
              <w:rPr>
                <w:sz w:val="19"/>
                <w:szCs w:val="19"/>
                <w:color w:val="auto"/>
              </w:rPr>
            </w:pPr>
          </w:p>
        </w:tc>
        <w:tc>
          <w:tcPr>
            <w:tcW w:w="6900" w:type="dxa"/>
            <w:vAlign w:val="bottom"/>
            <w:gridSpan w:val="2"/>
          </w:tcPr>
          <w:p>
            <w:pPr>
              <w:jc w:val="right"/>
              <w:ind w:right="4435"/>
              <w:spacing w:after="0"/>
              <w:rPr>
                <w:sz w:val="20"/>
                <w:szCs w:val="20"/>
                <w:color w:val="auto"/>
              </w:rPr>
            </w:pPr>
            <w:r>
              <w:rPr>
                <w:rFonts w:ascii="Times New Roman" w:cs="Times New Roman" w:eastAsia="Times New Roman" w:hAnsi="Times New Roman"/>
                <w:sz w:val="17"/>
                <w:szCs w:val="17"/>
                <w:b w:val="1"/>
                <w:bCs w:val="1"/>
                <w:color w:val="auto"/>
              </w:rPr>
              <w:t>Time-Based Restrictions</w:t>
            </w:r>
          </w:p>
        </w:tc>
      </w:tr>
      <w:tr>
        <w:trPr>
          <w:trHeight w:val="205"/>
        </w:trPr>
        <w:tc>
          <w:tcPr>
            <w:tcW w:w="4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5500" w:type="dxa"/>
            <w:vAlign w:val="bottom"/>
            <w:tcBorders>
              <w:bottom w:val="single" w:sz="8" w:color="auto"/>
            </w:tcBorders>
          </w:tcPr>
          <w:p>
            <w:pPr>
              <w:spacing w:after="0"/>
              <w:rPr>
                <w:sz w:val="17"/>
                <w:szCs w:val="17"/>
                <w:color w:val="auto"/>
              </w:rPr>
            </w:pPr>
          </w:p>
        </w:tc>
      </w:tr>
      <w:tr>
        <w:trPr>
          <w:trHeight w:val="219"/>
        </w:trPr>
        <w:tc>
          <w:tcPr>
            <w:tcW w:w="4400" w:type="dxa"/>
            <w:vAlign w:val="bottom"/>
            <w:tcBorders>
              <w:left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7"/>
                <w:szCs w:val="17"/>
                <w:b w:val="1"/>
                <w:bCs w:val="1"/>
                <w:color w:val="auto"/>
              </w:rPr>
              <w:t>Anniversary Date</w:t>
            </w:r>
          </w:p>
        </w:tc>
        <w:tc>
          <w:tcPr>
            <w:tcW w:w="140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jc w:val="right"/>
              <w:ind w:right="2895"/>
              <w:spacing w:after="0"/>
              <w:rPr>
                <w:sz w:val="20"/>
                <w:szCs w:val="20"/>
                <w:color w:val="auto"/>
              </w:rPr>
            </w:pPr>
            <w:r>
              <w:rPr>
                <w:rFonts w:ascii="Times New Roman" w:cs="Times New Roman" w:eastAsia="Times New Roman" w:hAnsi="Times New Roman"/>
                <w:sz w:val="17"/>
                <w:szCs w:val="17"/>
                <w:b w:val="1"/>
                <w:bCs w:val="1"/>
                <w:color w:val="auto"/>
              </w:rPr>
              <w:t>% of Restricted Stock</w:t>
            </w:r>
          </w:p>
        </w:tc>
      </w:tr>
      <w:tr>
        <w:trPr>
          <w:trHeight w:val="233"/>
        </w:trPr>
        <w:tc>
          <w:tcPr>
            <w:tcW w:w="44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First (1</w:t>
            </w:r>
            <w:r>
              <w:rPr>
                <w:rFonts w:ascii="Times New Roman" w:cs="Times New Roman" w:eastAsia="Times New Roman" w:hAnsi="Times New Roman"/>
                <w:sz w:val="6"/>
                <w:szCs w:val="6"/>
                <w:color w:val="auto"/>
              </w:rPr>
              <w:t>st</w:t>
            </w:r>
            <w:r>
              <w:rPr>
                <w:rFonts w:ascii="Times New Roman" w:cs="Times New Roman" w:eastAsia="Times New Roman" w:hAnsi="Times New Roman"/>
                <w:sz w:val="17"/>
                <w:szCs w:val="17"/>
                <w:color w:val="auto"/>
              </w:rPr>
              <w:t>) anniversary of the Effective Date of Grant</w:t>
            </w:r>
          </w:p>
        </w:tc>
        <w:tc>
          <w:tcPr>
            <w:tcW w:w="1400" w:type="dxa"/>
            <w:vAlign w:val="bottom"/>
            <w:tcBorders>
              <w:bottom w:val="single" w:sz="8" w:color="auto"/>
              <w:right w:val="single" w:sz="8" w:color="auto"/>
            </w:tcBorders>
          </w:tcPr>
          <w:p>
            <w:pPr>
              <w:spacing w:after="0"/>
              <w:rPr>
                <w:sz w:val="20"/>
                <w:szCs w:val="20"/>
                <w:color w:val="auto"/>
              </w:rPr>
            </w:pPr>
          </w:p>
        </w:tc>
        <w:tc>
          <w:tcPr>
            <w:tcW w:w="5500" w:type="dxa"/>
            <w:vAlign w:val="bottom"/>
            <w:tcBorders>
              <w:bottom w:val="single" w:sz="8" w:color="auto"/>
              <w:right w:val="single" w:sz="8" w:color="auto"/>
            </w:tcBorders>
          </w:tcPr>
          <w:p>
            <w:pPr>
              <w:jc w:val="right"/>
              <w:ind w:right="4815"/>
              <w:spacing w:after="0"/>
              <w:rPr>
                <w:sz w:val="20"/>
                <w:szCs w:val="20"/>
                <w:color w:val="auto"/>
              </w:rPr>
            </w:pPr>
            <w:r>
              <w:rPr>
                <w:rFonts w:ascii="Times New Roman" w:cs="Times New Roman" w:eastAsia="Times New Roman" w:hAnsi="Times New Roman"/>
                <w:sz w:val="17"/>
                <w:szCs w:val="17"/>
                <w:color w:val="auto"/>
              </w:rPr>
              <w:t>33.33%</w:t>
            </w:r>
          </w:p>
        </w:tc>
      </w:tr>
      <w:tr>
        <w:trPr>
          <w:trHeight w:val="224"/>
        </w:trPr>
        <w:tc>
          <w:tcPr>
            <w:tcW w:w="44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Second (2</w:t>
            </w:r>
            <w:r>
              <w:rPr>
                <w:rFonts w:ascii="Times New Roman" w:cs="Times New Roman" w:eastAsia="Times New Roman" w:hAnsi="Times New Roman"/>
                <w:sz w:val="6"/>
                <w:szCs w:val="6"/>
                <w:color w:val="auto"/>
              </w:rPr>
              <w:t>nd</w:t>
            </w:r>
            <w:r>
              <w:rPr>
                <w:rFonts w:ascii="Times New Roman" w:cs="Times New Roman" w:eastAsia="Times New Roman" w:hAnsi="Times New Roman"/>
                <w:sz w:val="17"/>
                <w:szCs w:val="17"/>
                <w:color w:val="auto"/>
              </w:rPr>
              <w:t>) anniversary of the Effective Date of Grant</w:t>
            </w:r>
          </w:p>
        </w:tc>
        <w:tc>
          <w:tcPr>
            <w:tcW w:w="140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jc w:val="right"/>
              <w:ind w:right="4815"/>
              <w:spacing w:after="0"/>
              <w:rPr>
                <w:sz w:val="20"/>
                <w:szCs w:val="20"/>
                <w:color w:val="auto"/>
              </w:rPr>
            </w:pPr>
            <w:r>
              <w:rPr>
                <w:rFonts w:ascii="Times New Roman" w:cs="Times New Roman" w:eastAsia="Times New Roman" w:hAnsi="Times New Roman"/>
                <w:sz w:val="17"/>
                <w:szCs w:val="17"/>
                <w:color w:val="auto"/>
              </w:rPr>
              <w:t>33.33%</w:t>
            </w:r>
          </w:p>
        </w:tc>
      </w:tr>
      <w:tr>
        <w:trPr>
          <w:trHeight w:val="224"/>
        </w:trPr>
        <w:tc>
          <w:tcPr>
            <w:tcW w:w="44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Third (3</w:t>
            </w:r>
            <w:r>
              <w:rPr>
                <w:rFonts w:ascii="Times New Roman" w:cs="Times New Roman" w:eastAsia="Times New Roman" w:hAnsi="Times New Roman"/>
                <w:sz w:val="6"/>
                <w:szCs w:val="6"/>
                <w:color w:val="auto"/>
              </w:rPr>
              <w:t>rd</w:t>
            </w:r>
            <w:r>
              <w:rPr>
                <w:rFonts w:ascii="Times New Roman" w:cs="Times New Roman" w:eastAsia="Times New Roman" w:hAnsi="Times New Roman"/>
                <w:sz w:val="17"/>
                <w:szCs w:val="17"/>
                <w:color w:val="auto"/>
              </w:rPr>
              <w:t>) anniversary of the Effective Date of Grant</w:t>
            </w:r>
          </w:p>
        </w:tc>
        <w:tc>
          <w:tcPr>
            <w:tcW w:w="1400" w:type="dxa"/>
            <w:vAlign w:val="bottom"/>
            <w:tcBorders>
              <w:bottom w:val="single" w:sz="8" w:color="auto"/>
              <w:right w:val="single" w:sz="8" w:color="auto"/>
            </w:tcBorders>
          </w:tcPr>
          <w:p>
            <w:pPr>
              <w:spacing w:after="0"/>
              <w:rPr>
                <w:sz w:val="19"/>
                <w:szCs w:val="19"/>
                <w:color w:val="auto"/>
              </w:rPr>
            </w:pPr>
          </w:p>
        </w:tc>
        <w:tc>
          <w:tcPr>
            <w:tcW w:w="5500" w:type="dxa"/>
            <w:vAlign w:val="bottom"/>
            <w:tcBorders>
              <w:bottom w:val="single" w:sz="8" w:color="auto"/>
              <w:right w:val="single" w:sz="8" w:color="auto"/>
            </w:tcBorders>
          </w:tcPr>
          <w:p>
            <w:pPr>
              <w:jc w:val="right"/>
              <w:ind w:right="4815"/>
              <w:spacing w:after="0"/>
              <w:rPr>
                <w:sz w:val="20"/>
                <w:szCs w:val="20"/>
                <w:color w:val="auto"/>
              </w:rPr>
            </w:pPr>
            <w:r>
              <w:rPr>
                <w:rFonts w:ascii="Times New Roman" w:cs="Times New Roman" w:eastAsia="Times New Roman" w:hAnsi="Times New Roman"/>
                <w:sz w:val="17"/>
                <w:szCs w:val="17"/>
                <w:color w:val="auto"/>
              </w:rPr>
              <w:t>33.34%</w:t>
            </w:r>
          </w:p>
        </w:tc>
      </w:tr>
    </w:tbl>
    <w:p>
      <w:pPr>
        <w:spacing w:after="0" w:line="23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7"/>
          <w:szCs w:val="17"/>
          <w:b w:val="1"/>
          <w:bCs w:val="1"/>
          <w:color w:val="auto"/>
        </w:rPr>
        <w:t>Vesting</w:t>
      </w:r>
    </w:p>
    <w:p>
      <w:pPr>
        <w:spacing w:after="0" w:line="17" w:lineRule="exact"/>
        <w:rPr>
          <w:sz w:val="20"/>
          <w:szCs w:val="20"/>
          <w:color w:val="auto"/>
        </w:rPr>
      </w:pPr>
    </w:p>
    <w:p>
      <w:pPr>
        <w:jc w:val="both"/>
        <w:ind w:right="20" w:firstLine="509"/>
        <w:spacing w:after="0" w:line="241" w:lineRule="auto"/>
        <w:rPr>
          <w:sz w:val="20"/>
          <w:szCs w:val="20"/>
          <w:color w:val="auto"/>
        </w:rPr>
      </w:pPr>
      <w:r>
        <w:rPr>
          <w:rFonts w:ascii="Times New Roman" w:cs="Times New Roman" w:eastAsia="Times New Roman" w:hAnsi="Times New Roman"/>
          <w:sz w:val="17"/>
          <w:szCs w:val="17"/>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has not been achieved as of an Anniversary Date, but is achieved on or before the end of the Measurement Period, then the percentage of the Restricted Stock indicated next to such Anniversary Date shall vest at such time as the Committee determines that the Company has achieved the Performance Restriction.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300"/>
          </w:cols>
          <w:pgMar w:left="300" w:top="1133" w:right="299" w:bottom="1440" w:gutter="0" w:footer="0" w:header="0"/>
        </w:sectPr>
      </w:pPr>
    </w:p>
    <w:bookmarkStart w:id="214" w:name="page215"/>
    <w:bookmarkEnd w:id="214"/>
    <w:p>
      <w:pPr>
        <w:ind w:left="3840"/>
        <w:spacing w:after="0"/>
        <w:rPr>
          <w:sz w:val="20"/>
          <w:szCs w:val="20"/>
          <w:color w:val="auto"/>
        </w:rPr>
      </w:pPr>
      <w:r>
        <w:rPr>
          <w:rFonts w:ascii="Times New Roman" w:cs="Times New Roman" w:eastAsia="Times New Roman" w:hAnsi="Times New Roman"/>
          <w:sz w:val="23"/>
          <w:szCs w:val="23"/>
          <w:b w:val="1"/>
          <w:bCs w:val="1"/>
          <w:color w:val="auto"/>
        </w:rPr>
        <w:t>F</w:t>
      </w:r>
      <w:r>
        <w:rPr>
          <w:rFonts w:ascii="Times New Roman" w:cs="Times New Roman" w:eastAsia="Times New Roman" w:hAnsi="Times New Roman"/>
          <w:sz w:val="18"/>
          <w:szCs w:val="18"/>
          <w:b w:val="1"/>
          <w:bCs w:val="1"/>
          <w:color w:val="auto"/>
        </w:rPr>
        <w:t>IDELITY</w:t>
      </w:r>
      <w:r>
        <w:rPr>
          <w:rFonts w:ascii="Times New Roman" w:cs="Times New Roman" w:eastAsia="Times New Roman" w:hAnsi="Times New Roman"/>
          <w:sz w:val="23"/>
          <w:szCs w:val="23"/>
          <w:b w:val="1"/>
          <w:bCs w:val="1"/>
          <w:color w:val="auto"/>
        </w:rPr>
        <w:t xml:space="preserve"> N</w:t>
      </w:r>
      <w:r>
        <w:rPr>
          <w:rFonts w:ascii="Times New Roman" w:cs="Times New Roman" w:eastAsia="Times New Roman" w:hAnsi="Times New Roman"/>
          <w:sz w:val="18"/>
          <w:szCs w:val="18"/>
          <w:b w:val="1"/>
          <w:bCs w:val="1"/>
          <w:color w:val="auto"/>
        </w:rPr>
        <w:t>ATIONAL</w:t>
      </w:r>
      <w:r>
        <w:rPr>
          <w:rFonts w:ascii="Times New Roman" w:cs="Times New Roman" w:eastAsia="Times New Roman" w:hAnsi="Times New Roman"/>
          <w:sz w:val="23"/>
          <w:szCs w:val="23"/>
          <w:b w:val="1"/>
          <w:bCs w:val="1"/>
          <w:color w:val="auto"/>
        </w:rPr>
        <w:t xml:space="preserve"> F</w:t>
      </w:r>
      <w:r>
        <w:rPr>
          <w:rFonts w:ascii="Times New Roman" w:cs="Times New Roman" w:eastAsia="Times New Roman" w:hAnsi="Times New Roman"/>
          <w:sz w:val="18"/>
          <w:szCs w:val="18"/>
          <w:b w:val="1"/>
          <w:bCs w:val="1"/>
          <w:color w:val="auto"/>
        </w:rPr>
        <w:t>INANCIAL</w:t>
      </w:r>
      <w:r>
        <w:rPr>
          <w:rFonts w:ascii="Times New Roman" w:cs="Times New Roman" w:eastAsia="Times New Roman" w:hAnsi="Times New Roman"/>
          <w:sz w:val="23"/>
          <w:szCs w:val="23"/>
          <w:b w:val="1"/>
          <w:bCs w:val="1"/>
          <w:color w:val="auto"/>
        </w:rPr>
        <w:t>, I</w:t>
      </w:r>
      <w:r>
        <w:rPr>
          <w:rFonts w:ascii="Times New Roman" w:cs="Times New Roman" w:eastAsia="Times New Roman" w:hAnsi="Times New Roman"/>
          <w:sz w:val="18"/>
          <w:szCs w:val="18"/>
          <w:b w:val="1"/>
          <w:bCs w:val="1"/>
          <w:color w:val="auto"/>
        </w:rPr>
        <w:t>NC</w:t>
      </w:r>
      <w:r>
        <w:rPr>
          <w:rFonts w:ascii="Times New Roman" w:cs="Times New Roman" w:eastAsia="Times New Roman" w:hAnsi="Times New Roman"/>
          <w:sz w:val="23"/>
          <w:szCs w:val="23"/>
          <w:b w:val="1"/>
          <w:bCs w:val="1"/>
          <w:color w:val="auto"/>
        </w:rPr>
        <w:t>.</w:t>
      </w:r>
    </w:p>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3"/>
          <w:szCs w:val="23"/>
          <w:b w:val="1"/>
          <w:bCs w:val="1"/>
          <w:color w:val="auto"/>
        </w:rPr>
        <w:t>A</w:t>
      </w:r>
      <w:r>
        <w:rPr>
          <w:rFonts w:ascii="Times New Roman" w:cs="Times New Roman" w:eastAsia="Times New Roman" w:hAnsi="Times New Roman"/>
          <w:sz w:val="18"/>
          <w:szCs w:val="18"/>
          <w:b w:val="1"/>
          <w:bCs w:val="1"/>
          <w:color w:val="auto"/>
        </w:rPr>
        <w:t>MENDED AND</w:t>
      </w:r>
      <w:r>
        <w:rPr>
          <w:rFonts w:ascii="Times New Roman" w:cs="Times New Roman" w:eastAsia="Times New Roman" w:hAnsi="Times New Roman"/>
          <w:sz w:val="23"/>
          <w:szCs w:val="23"/>
          <w:b w:val="1"/>
          <w:bCs w:val="1"/>
          <w:color w:val="auto"/>
        </w:rPr>
        <w:t xml:space="preserve"> R</w:t>
      </w:r>
      <w:r>
        <w:rPr>
          <w:rFonts w:ascii="Times New Roman" w:cs="Times New Roman" w:eastAsia="Times New Roman" w:hAnsi="Times New Roman"/>
          <w:sz w:val="18"/>
          <w:szCs w:val="18"/>
          <w:b w:val="1"/>
          <w:bCs w:val="1"/>
          <w:color w:val="auto"/>
        </w:rPr>
        <w:t>ESTATED</w:t>
      </w:r>
    </w:p>
    <w:p>
      <w:pPr>
        <w:spacing w:after="0" w:line="1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3"/>
          <w:szCs w:val="23"/>
          <w:b w:val="1"/>
          <w:bCs w:val="1"/>
          <w:color w:val="auto"/>
        </w:rPr>
        <w:t>2005 O</w:t>
      </w:r>
      <w:r>
        <w:rPr>
          <w:rFonts w:ascii="Times New Roman" w:cs="Times New Roman" w:eastAsia="Times New Roman" w:hAnsi="Times New Roman"/>
          <w:sz w:val="18"/>
          <w:szCs w:val="18"/>
          <w:b w:val="1"/>
          <w:bCs w:val="1"/>
          <w:color w:val="auto"/>
        </w:rPr>
        <w:t>MNIBUS</w:t>
      </w:r>
      <w:r>
        <w:rPr>
          <w:rFonts w:ascii="Times New Roman" w:cs="Times New Roman" w:eastAsia="Times New Roman" w:hAnsi="Times New Roman"/>
          <w:sz w:val="23"/>
          <w:szCs w:val="23"/>
          <w:b w:val="1"/>
          <w:bCs w:val="1"/>
          <w:color w:val="auto"/>
        </w:rPr>
        <w:t xml:space="preserve"> I</w:t>
      </w:r>
      <w:r>
        <w:rPr>
          <w:rFonts w:ascii="Times New Roman" w:cs="Times New Roman" w:eastAsia="Times New Roman" w:hAnsi="Times New Roman"/>
          <w:sz w:val="18"/>
          <w:szCs w:val="18"/>
          <w:b w:val="1"/>
          <w:bCs w:val="1"/>
          <w:color w:val="auto"/>
        </w:rPr>
        <w:t>NCENTIVE</w:t>
      </w:r>
      <w:r>
        <w:rPr>
          <w:rFonts w:ascii="Times New Roman" w:cs="Times New Roman" w:eastAsia="Times New Roman" w:hAnsi="Times New Roman"/>
          <w:sz w:val="23"/>
          <w:szCs w:val="23"/>
          <w:b w:val="1"/>
          <w:bCs w:val="1"/>
          <w:color w:val="auto"/>
        </w:rPr>
        <w:t xml:space="preserve"> P</w:t>
      </w:r>
      <w:r>
        <w:rPr>
          <w:rFonts w:ascii="Times New Roman" w:cs="Times New Roman" w:eastAsia="Times New Roman" w:hAnsi="Times New Roman"/>
          <w:sz w:val="18"/>
          <w:szCs w:val="18"/>
          <w:b w:val="1"/>
          <w:bCs w:val="1"/>
          <w:color w:val="auto"/>
        </w:rPr>
        <w:t>LAN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Notice of Restricted Stock Grant (Time-Based)</w:t>
      </w:r>
    </w:p>
    <w:p>
      <w:pPr>
        <w:spacing w:after="0" w:line="201" w:lineRule="exact"/>
        <w:rPr>
          <w:sz w:val="20"/>
          <w:szCs w:val="20"/>
          <w:color w:val="auto"/>
        </w:rPr>
      </w:pPr>
    </w:p>
    <w:p>
      <w:pPr>
        <w:jc w:val="both"/>
        <w:ind w:right="20" w:firstLine="446"/>
        <w:spacing w:after="0" w:line="275" w:lineRule="auto"/>
        <w:rPr>
          <w:sz w:val="20"/>
          <w:szCs w:val="20"/>
          <w:color w:val="auto"/>
        </w:rPr>
      </w:pPr>
      <w:r>
        <w:rPr>
          <w:rFonts w:ascii="Times New Roman" w:cs="Times New Roman" w:eastAsia="Times New Roman" w:hAnsi="Times New Roman"/>
          <w:sz w:val="17"/>
          <w:szCs w:val="17"/>
          <w:color w:val="auto"/>
        </w:rPr>
        <w:t>You (the “Grantee”) have been granted the following award of restricted Shares (the “Restricted Stock”), of common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16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53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ED7D31"/>
              </w:rPr>
              <w:t>Name of Grantee</w:t>
            </w:r>
            <w:r>
              <w:rPr>
                <w:rFonts w:ascii="Times New Roman" w:cs="Times New Roman" w:eastAsia="Times New Roman" w:hAnsi="Times New Roman"/>
                <w:sz w:val="17"/>
                <w:szCs w:val="17"/>
                <w:color w:val="000000"/>
              </w:rPr>
              <w:t>:</w:t>
            </w:r>
          </w:p>
        </w:tc>
        <w:tc>
          <w:tcPr>
            <w:tcW w:w="6000" w:type="dxa"/>
            <w:vAlign w:val="bottom"/>
            <w:tcBorders>
              <w:top w:val="single" w:sz="8" w:color="auto"/>
              <w:bottom w:val="single" w:sz="8" w:color="auto"/>
              <w:right w:val="single" w:sz="8" w:color="auto"/>
            </w:tcBorders>
          </w:tcPr>
          <w:p>
            <w:pPr>
              <w:spacing w:after="0"/>
              <w:rPr>
                <w:sz w:val="20"/>
                <w:szCs w:val="20"/>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ED7D31"/>
              </w:rPr>
              <w:t>Number of Shares</w:t>
            </w:r>
            <w:r>
              <w:rPr>
                <w:rFonts w:ascii="Times New Roman" w:cs="Times New Roman" w:eastAsia="Times New Roman" w:hAnsi="Times New Roman"/>
                <w:sz w:val="17"/>
                <w:szCs w:val="17"/>
                <w:color w:val="000000"/>
              </w:rPr>
              <w:t>:</w:t>
            </w:r>
          </w:p>
        </w:tc>
        <w:tc>
          <w:tcPr>
            <w:tcW w:w="6000" w:type="dxa"/>
            <w:vAlign w:val="bottom"/>
            <w:tcBorders>
              <w:bottom w:val="single" w:sz="8" w:color="auto"/>
              <w:right w:val="single" w:sz="8" w:color="auto"/>
            </w:tcBorders>
          </w:tcPr>
          <w:p>
            <w:pPr>
              <w:spacing w:after="0"/>
              <w:rPr>
                <w:sz w:val="19"/>
                <w:szCs w:val="19"/>
                <w:color w:val="auto"/>
              </w:rPr>
            </w:pPr>
          </w:p>
        </w:tc>
      </w:tr>
      <w:tr>
        <w:trPr>
          <w:trHeight w:val="224"/>
        </w:trPr>
        <w:tc>
          <w:tcPr>
            <w:tcW w:w="53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Effective Date of Grant:</w:t>
            </w:r>
          </w:p>
        </w:tc>
        <w:tc>
          <w:tcPr>
            <w:tcW w:w="6000" w:type="dxa"/>
            <w:vAlign w:val="bottom"/>
            <w:tcBorders>
              <w:bottom w:val="single" w:sz="8" w:color="auto"/>
              <w:right w:val="single" w:sz="8" w:color="auto"/>
            </w:tcBorders>
          </w:tcPr>
          <w:p>
            <w:pPr>
              <w:jc w:val="right"/>
              <w:ind w:right="4475"/>
              <w:spacing w:after="0"/>
              <w:rPr>
                <w:sz w:val="20"/>
                <w:szCs w:val="20"/>
                <w:color w:val="auto"/>
              </w:rPr>
            </w:pPr>
            <w:r>
              <w:rPr>
                <w:rFonts w:ascii="Times New Roman" w:cs="Times New Roman" w:eastAsia="Times New Roman" w:hAnsi="Times New Roman"/>
                <w:sz w:val="17"/>
                <w:szCs w:val="17"/>
                <w:color w:val="ED7D31"/>
              </w:rPr>
              <w:t>November 10, 2025</w:t>
            </w:r>
          </w:p>
        </w:tc>
      </w:tr>
      <w:tr>
        <w:trPr>
          <w:trHeight w:val="210"/>
        </w:trPr>
        <w:tc>
          <w:tcPr>
            <w:tcW w:w="53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Vesting and Period of Restriction:</w:t>
            </w: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Subject to the terms of the Plan and the Restricted Stock Award Agreement attached</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hereto, the Period of Restriction shall lapse, and the Shares shall vest and become free</w:t>
            </w:r>
          </w:p>
        </w:tc>
      </w:tr>
      <w:tr>
        <w:trPr>
          <w:trHeight w:val="202"/>
        </w:trPr>
        <w:tc>
          <w:tcPr>
            <w:tcW w:w="5300" w:type="dxa"/>
            <w:vAlign w:val="bottom"/>
            <w:tcBorders>
              <w:left w:val="single" w:sz="8" w:color="auto"/>
              <w:right w:val="single" w:sz="8" w:color="auto"/>
            </w:tcBorders>
          </w:tcPr>
          <w:p>
            <w:pPr>
              <w:spacing w:after="0"/>
              <w:rPr>
                <w:sz w:val="17"/>
                <w:szCs w:val="17"/>
                <w:color w:val="auto"/>
              </w:rPr>
            </w:pPr>
          </w:p>
        </w:tc>
        <w:tc>
          <w:tcPr>
            <w:tcW w:w="6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of the forfeiture provisions contained in the Restricted Stock Award Agreement, with</w:t>
            </w:r>
          </w:p>
        </w:tc>
      </w:tr>
      <w:tr>
        <w:trPr>
          <w:trHeight w:val="219"/>
        </w:trPr>
        <w:tc>
          <w:tcPr>
            <w:tcW w:w="5300" w:type="dxa"/>
            <w:vAlign w:val="bottom"/>
            <w:tcBorders>
              <w:left w:val="single" w:sz="8" w:color="auto"/>
              <w:right w:val="single" w:sz="8" w:color="auto"/>
            </w:tcBorders>
          </w:tcPr>
          <w:p>
            <w:pPr>
              <w:spacing w:after="0"/>
              <w:rPr>
                <w:sz w:val="19"/>
                <w:szCs w:val="19"/>
                <w:color w:val="auto"/>
              </w:rPr>
            </w:pPr>
          </w:p>
        </w:tc>
        <w:tc>
          <w:tcPr>
            <w:tcW w:w="6000" w:type="dxa"/>
            <w:vAlign w:val="bottom"/>
            <w:tcBorders>
              <w:right w:val="single" w:sz="8" w:color="auto"/>
            </w:tcBorders>
          </w:tcPr>
          <w:p>
            <w:pPr>
              <w:jc w:val="right"/>
              <w:ind w:right="1375"/>
              <w:spacing w:after="0"/>
              <w:rPr>
                <w:sz w:val="20"/>
                <w:szCs w:val="20"/>
                <w:color w:val="auto"/>
              </w:rPr>
            </w:pPr>
            <w:r>
              <w:rPr>
                <w:rFonts w:ascii="Times New Roman" w:cs="Times New Roman" w:eastAsia="Times New Roman" w:hAnsi="Times New Roman"/>
                <w:sz w:val="17"/>
                <w:szCs w:val="17"/>
                <w:color w:val="auto"/>
                <w:w w:val="99"/>
              </w:rPr>
              <w:t>respect to one third of the shares on each of the first three annivers</w:t>
            </w:r>
          </w:p>
        </w:tc>
      </w:tr>
      <w:tr>
        <w:trPr>
          <w:trHeight w:val="24"/>
        </w:trPr>
        <w:tc>
          <w:tcPr>
            <w:tcW w:w="5300" w:type="dxa"/>
            <w:vAlign w:val="bottom"/>
            <w:tcBorders>
              <w:left w:val="single" w:sz="8" w:color="auto"/>
              <w:bottom w:val="single" w:sz="8" w:color="auto"/>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 If you have not accepted or declined this Restricted Stock Grant, including the terms of this Notice and Restricted Stock Award Agreement, prior to the first anniversary of the Effective Date of Grant, you are hereby advised and acknowledge that you shall be deemed to have accepted the terms of this Notice and Restricted Stock Award Agreement on such first anniversary of the Effective Date of Grant.</w:t>
      </w:r>
    </w:p>
    <w:p>
      <w:pPr>
        <w:sectPr>
          <w:pgSz w:w="11900" w:h="16838" w:orient="portrait"/>
          <w:cols w:equalWidth="0" w:num="1">
            <w:col w:w="11300"/>
          </w:cols>
          <w:pgMar w:left="300" w:top="1181" w:right="299" w:bottom="1440" w:gutter="0" w:footer="0" w:header="0"/>
        </w:sectPr>
      </w:pPr>
    </w:p>
    <w:bookmarkStart w:id="215" w:name="page216"/>
    <w:bookmarkEnd w:id="215"/>
    <w:p>
      <w:pPr>
        <w:ind w:left="5740"/>
        <w:spacing w:after="0"/>
        <w:rPr>
          <w:sz w:val="20"/>
          <w:szCs w:val="20"/>
          <w:color w:val="auto"/>
        </w:rPr>
      </w:pP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2"/>
          <w:szCs w:val="12"/>
          <w:b w:val="1"/>
          <w:bCs w:val="1"/>
          <w:color w:val="auto"/>
        </w:rPr>
        <w:t>IDELITY</w:t>
      </w:r>
      <w:r>
        <w:rPr>
          <w:rFonts w:ascii="Times New Roman" w:cs="Times New Roman" w:eastAsia="Times New Roman" w:hAnsi="Times New Roman"/>
          <w:sz w:val="17"/>
          <w:szCs w:val="17"/>
          <w:b w:val="1"/>
          <w:bCs w:val="1"/>
          <w:color w:val="auto"/>
        </w:rPr>
        <w:t xml:space="preserve"> N</w:t>
      </w:r>
      <w:r>
        <w:rPr>
          <w:rFonts w:ascii="Times New Roman" w:cs="Times New Roman" w:eastAsia="Times New Roman" w:hAnsi="Times New Roman"/>
          <w:sz w:val="12"/>
          <w:szCs w:val="12"/>
          <w:b w:val="1"/>
          <w:bCs w:val="1"/>
          <w:color w:val="auto"/>
        </w:rPr>
        <w:t>ATIONAL</w:t>
      </w:r>
      <w:r>
        <w:rPr>
          <w:rFonts w:ascii="Times New Roman" w:cs="Times New Roman" w:eastAsia="Times New Roman" w:hAnsi="Times New Roman"/>
          <w:sz w:val="17"/>
          <w:szCs w:val="17"/>
          <w:b w:val="1"/>
          <w:bCs w:val="1"/>
          <w:color w:val="auto"/>
        </w:rPr>
        <w:t xml:space="preserve"> F</w:t>
      </w:r>
      <w:r>
        <w:rPr>
          <w:rFonts w:ascii="Times New Roman" w:cs="Times New Roman" w:eastAsia="Times New Roman" w:hAnsi="Times New Roman"/>
          <w:sz w:val="12"/>
          <w:szCs w:val="12"/>
          <w:b w:val="1"/>
          <w:bCs w:val="1"/>
          <w:color w:val="auto"/>
        </w:rPr>
        <w:t>INANCIAL</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7"/>
          <w:szCs w:val="17"/>
          <w:b w:val="1"/>
          <w:bCs w:val="1"/>
          <w:color w:val="auto"/>
        </w:rPr>
        <w:t xml:space="preserve"> 2005 O</w:t>
      </w:r>
      <w:r>
        <w:rPr>
          <w:rFonts w:ascii="Times New Roman" w:cs="Times New Roman" w:eastAsia="Times New Roman" w:hAnsi="Times New Roman"/>
          <w:sz w:val="12"/>
          <w:szCs w:val="12"/>
          <w:b w:val="1"/>
          <w:bCs w:val="1"/>
          <w:color w:val="auto"/>
        </w:rPr>
        <w:t>MNIBUS</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Stock Award Agreement (Time-Based)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 GRANT OF RESTRICTED STOCK</w:t>
      </w:r>
    </w:p>
    <w:p>
      <w:pPr>
        <w:spacing w:after="0" w:line="17" w:lineRule="exact"/>
        <w:rPr>
          <w:sz w:val="20"/>
          <w:szCs w:val="20"/>
          <w:color w:val="auto"/>
        </w:rPr>
      </w:pPr>
    </w:p>
    <w:p>
      <w:pPr>
        <w:jc w:val="both"/>
        <w:ind w:right="160" w:firstLine="5"/>
        <w:spacing w:after="0" w:line="234" w:lineRule="auto"/>
        <w:tabs>
          <w:tab w:leader="none" w:pos="24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Restricted Stock</w:t>
      </w:r>
      <w:r>
        <w:rPr>
          <w:rFonts w:ascii="Times New Roman" w:cs="Times New Roman" w:eastAsia="Times New Roman" w:hAnsi="Times New Roman"/>
          <w:sz w:val="17"/>
          <w:szCs w:val="17"/>
          <w:color w:val="auto"/>
        </w:rPr>
        <w:t>. On the terms and conditions set forth in the Notice of Restricted Stock Grant and this Restricted Stock Award Agreement (the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grants to the Grantee on the Effective Date of Grant the Shares of Restricted Stock (the “Restricted Stock”) set forth in the Notice of Restricted Stock Grant.</w:t>
      </w:r>
    </w:p>
    <w:p>
      <w:pPr>
        <w:spacing w:after="0" w:line="1" w:lineRule="exact"/>
        <w:rPr>
          <w:rFonts w:ascii="Times New Roman" w:cs="Times New Roman" w:eastAsia="Times New Roman" w:hAnsi="Times New Roman"/>
          <w:sz w:val="17"/>
          <w:szCs w:val="17"/>
          <w:b w:val="1"/>
          <w:bCs w:val="1"/>
          <w:color w:val="auto"/>
        </w:rPr>
      </w:pPr>
    </w:p>
    <w:p>
      <w:pPr>
        <w:ind w:right="100" w:firstLine="5"/>
        <w:spacing w:after="0" w:line="254" w:lineRule="auto"/>
        <w:tabs>
          <w:tab w:leader="none" w:pos="255"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Plan and Defined Terms</w:t>
      </w:r>
      <w:r>
        <w:rPr>
          <w:rFonts w:ascii="Times New Roman" w:cs="Times New Roman" w:eastAsia="Times New Roman" w:hAnsi="Times New Roman"/>
          <w:sz w:val="17"/>
          <w:szCs w:val="17"/>
          <w:color w:val="auto"/>
        </w:rPr>
        <w:t>. The Restricted Stock is granted pursuant to the Plan. All terms, provisions, and conditions applicable to the Restricted Stock set forth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2. FORFEITURE AND TRANSFER RESTRICTIONS</w:t>
      </w:r>
    </w:p>
    <w:p>
      <w:pPr>
        <w:spacing w:after="0" w:line="13" w:lineRule="exact"/>
        <w:rPr>
          <w:sz w:val="20"/>
          <w:szCs w:val="20"/>
          <w:color w:val="auto"/>
        </w:rPr>
      </w:pPr>
    </w:p>
    <w:p>
      <w:pPr>
        <w:ind w:left="240" w:hanging="235"/>
        <w:spacing w:after="0"/>
        <w:tabs>
          <w:tab w:leader="none" w:pos="24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Forfeiture</w:t>
      </w:r>
      <w:r>
        <w:rPr>
          <w:rFonts w:ascii="Times New Roman" w:cs="Times New Roman" w:eastAsia="Times New Roman" w:hAnsi="Times New Roman"/>
          <w:sz w:val="17"/>
          <w:szCs w:val="17"/>
          <w:color w:val="auto"/>
        </w:rPr>
        <w:t>. Except as otherwise provided in Grantee’s employment, director services or similar agreement in effect at the time of the employment termination:</w:t>
      </w:r>
    </w:p>
    <w:p>
      <w:pPr>
        <w:ind w:left="720" w:hanging="206"/>
        <w:spacing w:after="0"/>
        <w:tabs>
          <w:tab w:leader="none" w:pos="7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for any reason other than death, or Disability (as defined below), the</w:t>
      </w:r>
    </w:p>
    <w:p>
      <w:pPr>
        <w:spacing w:after="0" w:line="6" w:lineRule="exact"/>
        <w:rPr>
          <w:sz w:val="20"/>
          <w:szCs w:val="20"/>
          <w:color w:val="auto"/>
        </w:rPr>
      </w:pPr>
    </w:p>
    <w:p>
      <w:pPr>
        <w:ind w:left="520"/>
        <w:spacing w:after="0" w:line="234" w:lineRule="auto"/>
        <w:rPr>
          <w:sz w:val="20"/>
          <w:szCs w:val="20"/>
          <w:color w:val="auto"/>
        </w:rPr>
      </w:pPr>
      <w:r>
        <w:rPr>
          <w:rFonts w:ascii="Times New Roman" w:cs="Times New Roman" w:eastAsia="Times New Roman" w:hAnsi="Times New Roman"/>
          <w:sz w:val="17"/>
          <w:szCs w:val="17"/>
          <w:color w:val="auto"/>
        </w:rPr>
        <w:t>Grantee shall, for no consideration, forfeit to the Company the Shares of Restricted Stock to the extent such Shares are subject to a Period of Restriction at the time of such termination.</w:t>
      </w:r>
    </w:p>
    <w:p>
      <w:pPr>
        <w:spacing w:after="0" w:line="1" w:lineRule="exact"/>
        <w:rPr>
          <w:sz w:val="20"/>
          <w:szCs w:val="20"/>
          <w:color w:val="auto"/>
        </w:rPr>
      </w:pPr>
    </w:p>
    <w:p>
      <w:pPr>
        <w:ind w:left="520" w:right="60" w:hanging="6"/>
        <w:spacing w:after="0"/>
        <w:tabs>
          <w:tab w:leader="none" w:pos="774"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Grantee’s employment or service as a Director or Consultant is terminated due to the Grantee’s death or Disability, a portion of the Shares which on the date of termination of employment remain subject to a Period of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2" w:lineRule="exact"/>
        <w:rPr>
          <w:rFonts w:ascii="Times New Roman" w:cs="Times New Roman" w:eastAsia="Times New Roman" w:hAnsi="Times New Roman"/>
          <w:sz w:val="17"/>
          <w:szCs w:val="17"/>
          <w:color w:val="auto"/>
        </w:rPr>
      </w:pPr>
    </w:p>
    <w:p>
      <w:pPr>
        <w:ind w:left="1980"/>
        <w:spacing w:after="0" w:line="22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x B) – C, where</w:t>
      </w:r>
    </w:p>
    <w:p>
      <w:pPr>
        <w:ind w:left="1980"/>
        <w:spacing w:after="0" w:line="23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 the total number of Shares granted under this Agreement,</w:t>
      </w:r>
    </w:p>
    <w:p>
      <w:pPr>
        <w:ind w:left="1980" w:right="320"/>
        <w:spacing w:after="0" w:line="24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 the number of completed months to the date of termination of employment since the Effective Date of Grant divided by 36, and C = the number of Shares granted under this Agreement which vested on or prior to the date of termination of employment.</w:t>
      </w:r>
    </w:p>
    <w:p>
      <w:pPr>
        <w:spacing w:after="0" w:line="173"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7"/>
          <w:szCs w:val="17"/>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1" w:lineRule="exact"/>
        <w:rPr>
          <w:sz w:val="20"/>
          <w:szCs w:val="20"/>
          <w:color w:val="auto"/>
        </w:rPr>
      </w:pPr>
    </w:p>
    <w:p>
      <w:pPr>
        <w:ind w:left="520" w:right="100" w:hanging="6"/>
        <w:spacing w:after="0" w:line="241" w:lineRule="auto"/>
        <w:tabs>
          <w:tab w:leader="none" w:pos="822"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w:t>
      </w:r>
    </w:p>
    <w:p>
      <w:pPr>
        <w:sectPr>
          <w:pgSz w:w="11900" w:h="16838" w:orient="portrait"/>
          <w:cols w:equalWidth="0" w:num="1">
            <w:col w:w="11260"/>
          </w:cols>
          <w:pgMar w:left="300" w:top="1133" w:right="339" w:bottom="1440" w:gutter="0" w:footer="0" w:header="0"/>
        </w:sectPr>
      </w:pPr>
    </w:p>
    <w:bookmarkStart w:id="216" w:name="page217"/>
    <w:bookmarkEnd w:id="216"/>
    <w:p>
      <w:pPr>
        <w:ind w:left="520"/>
        <w:spacing w:after="0"/>
        <w:rPr>
          <w:sz w:val="20"/>
          <w:szCs w:val="20"/>
          <w:color w:val="auto"/>
        </w:rPr>
      </w:pPr>
      <w:r>
        <w:rPr>
          <w:rFonts w:ascii="Times New Roman" w:cs="Times New Roman" w:eastAsia="Times New Roman" w:hAnsi="Times New Roman"/>
          <w:sz w:val="17"/>
          <w:szCs w:val="17"/>
          <w:color w:val="auto"/>
        </w:rPr>
        <w:t>disability plan maintained by the Company or in which the Company’s employees participate.</w:t>
      </w:r>
    </w:p>
    <w:p>
      <w:pPr>
        <w:spacing w:after="0" w:line="13" w:lineRule="exact"/>
        <w:rPr>
          <w:sz w:val="20"/>
          <w:szCs w:val="20"/>
          <w:color w:val="auto"/>
        </w:rPr>
      </w:pPr>
    </w:p>
    <w:p>
      <w:pPr>
        <w:ind w:right="640" w:firstLine="5"/>
        <w:spacing w:after="0"/>
        <w:tabs>
          <w:tab w:leader="none" w:pos="25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Transfer Restrictions</w:t>
      </w:r>
      <w:r>
        <w:rPr>
          <w:rFonts w:ascii="Times New Roman" w:cs="Times New Roman" w:eastAsia="Times New Roman" w:hAnsi="Times New Roman"/>
          <w:sz w:val="17"/>
          <w:szCs w:val="17"/>
          <w:color w:val="auto"/>
        </w:rPr>
        <w:t>. During the Period of Restriction, the Restricted Stock may not be sold, assigned, pledged, exchanged, hypothecated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encumbered or disposed of, to the extent such Shares are subject to a Period of Restriction.</w:t>
      </w:r>
    </w:p>
    <w:p>
      <w:pPr>
        <w:spacing w:after="0" w:line="1" w:lineRule="exact"/>
        <w:rPr>
          <w:rFonts w:ascii="Times New Roman" w:cs="Times New Roman" w:eastAsia="Times New Roman" w:hAnsi="Times New Roman"/>
          <w:sz w:val="17"/>
          <w:szCs w:val="17"/>
          <w:b w:val="1"/>
          <w:bCs w:val="1"/>
          <w:color w:val="auto"/>
        </w:rPr>
      </w:pPr>
    </w:p>
    <w:p>
      <w:pPr>
        <w:ind w:firstLine="5"/>
        <w:spacing w:after="0"/>
        <w:tabs>
          <w:tab w:leader="none" w:pos="231"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Holding Period</w:t>
      </w:r>
      <w:r>
        <w:rPr>
          <w:rFonts w:ascii="Times New Roman" w:cs="Times New Roman" w:eastAsia="Times New Roman" w:hAnsi="Times New Roman"/>
          <w:sz w:val="17"/>
          <w:szCs w:val="17"/>
          <w:color w:val="auto"/>
        </w:rPr>
        <w:t>. If and when (i) the Grantee is an Officer (as defined in Rule 16a-1(f) of the Exchange Act), and (ii) Grantee does not hold Shares with a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with a value sufficient to satisfy 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1" w:lineRule="exact"/>
        <w:rPr>
          <w:rFonts w:ascii="Times New Roman" w:cs="Times New Roman" w:eastAsia="Times New Roman" w:hAnsi="Times New Roman"/>
          <w:sz w:val="17"/>
          <w:szCs w:val="17"/>
          <w:b w:val="1"/>
          <w:bCs w:val="1"/>
          <w:color w:val="auto"/>
        </w:rPr>
      </w:pPr>
    </w:p>
    <w:p>
      <w:pPr>
        <w:ind w:right="60" w:firstLine="5"/>
        <w:spacing w:after="0" w:line="241" w:lineRule="auto"/>
        <w:tabs>
          <w:tab w:leader="none" w:pos="25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Lapse of Restrictions</w:t>
      </w:r>
      <w:r>
        <w:rPr>
          <w:rFonts w:ascii="Times New Roman" w:cs="Times New Roman" w:eastAsia="Times New Roman" w:hAnsi="Times New Roman"/>
          <w:sz w:val="17"/>
          <w:szCs w:val="17"/>
          <w:color w:val="auto"/>
        </w:rPr>
        <w:t>. The Period of Restriction shall lapse as to the Restricted Stock in accordance with the Notice of Restricted Stock Grant and the terms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3. STOCK CERTIFICATES</w:t>
      </w:r>
    </w:p>
    <w:p>
      <w:pPr>
        <w:spacing w:after="0" w:line="17"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7"/>
          <w:szCs w:val="17"/>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4. SHAREHOLDER RIGHTS</w:t>
      </w:r>
    </w:p>
    <w:p>
      <w:pPr>
        <w:spacing w:after="0" w:line="7"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7"/>
          <w:szCs w:val="17"/>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w:t>
      </w:r>
    </w:p>
    <w:p>
      <w:pPr>
        <w:sectPr>
          <w:pgSz w:w="11900" w:h="16838" w:orient="portrait"/>
          <w:cols w:equalWidth="0" w:num="1">
            <w:col w:w="11260"/>
          </w:cols>
          <w:pgMar w:left="300" w:top="1137"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color w:val="auto"/>
        </w:rPr>
        <w:t>be held by the Company subject to the same restrictions as the Restricted Stock in respect of which the dividend was paid.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5. DIVIDENDS</w:t>
      </w:r>
    </w:p>
    <w:p>
      <w:pPr>
        <w:spacing w:after="0" w:line="13" w:lineRule="exact"/>
        <w:rPr>
          <w:sz w:val="20"/>
          <w:szCs w:val="20"/>
          <w:color w:val="auto"/>
        </w:rPr>
      </w:pPr>
    </w:p>
    <w:p>
      <w:pPr>
        <w:ind w:left="240" w:hanging="235"/>
        <w:spacing w:after="0"/>
        <w:tabs>
          <w:tab w:leader="none" w:pos="24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paid with respect to Shares which remain subject to a Period of Restriction shall not be paid to the Grantee but shall be held by the Company.</w:t>
      </w:r>
    </w:p>
    <w:p>
      <w:pPr>
        <w:ind w:left="260" w:hanging="255"/>
        <w:spacing w:after="0"/>
        <w:tabs>
          <w:tab w:leader="none" w:pos="2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held dividends shall be subject to the same Period of Restriction as the Shares to which they relate.</w:t>
      </w:r>
    </w:p>
    <w:p>
      <w:pPr>
        <w:spacing w:after="0" w:line="5" w:lineRule="exact"/>
        <w:rPr>
          <w:rFonts w:ascii="Times New Roman" w:cs="Times New Roman" w:eastAsia="Times New Roman" w:hAnsi="Times New Roman"/>
          <w:sz w:val="17"/>
          <w:szCs w:val="17"/>
          <w:b w:val="1"/>
          <w:bCs w:val="1"/>
          <w:color w:val="auto"/>
        </w:rPr>
      </w:pPr>
    </w:p>
    <w:p>
      <w:pPr>
        <w:ind w:right="120" w:firstLine="5"/>
        <w:spacing w:after="0" w:line="241" w:lineRule="auto"/>
        <w:tabs>
          <w:tab w:leader="none" w:pos="231"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dividends held pursuant to this Section 5 which are attributable to Shares which vest pursuant to this Agreement shall be paid to the Grantee within 30 days of the applicable vesting date.</w:t>
      </w:r>
    </w:p>
    <w:p>
      <w:pPr>
        <w:ind w:left="260" w:hanging="255"/>
        <w:spacing w:after="0"/>
        <w:tabs>
          <w:tab w:leader="none" w:pos="2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Dividends attributable to Shares forfeited pursuant to Section 2 of this Agreement shall be forfeited to the Company on the date such Shares are forfeited.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6. MISCELLANEOUS PROVISIONS</w:t>
      </w:r>
    </w:p>
    <w:p>
      <w:pPr>
        <w:spacing w:after="0" w:line="7" w:lineRule="exact"/>
        <w:rPr>
          <w:sz w:val="20"/>
          <w:szCs w:val="20"/>
          <w:color w:val="auto"/>
        </w:rPr>
      </w:pPr>
    </w:p>
    <w:p>
      <w:pPr>
        <w:ind w:firstLine="5"/>
        <w:spacing w:after="0"/>
        <w:tabs>
          <w:tab w:leader="none" w:pos="24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Withholding</w:t>
      </w:r>
      <w:r>
        <w:rPr>
          <w:rFonts w:ascii="Times New Roman" w:cs="Times New Roman" w:eastAsia="Times New Roman" w:hAnsi="Times New Roman"/>
          <w:sz w:val="17"/>
          <w:szCs w:val="17"/>
          <w:color w:val="auto"/>
        </w:rPr>
        <w:t>. Pursuant to Article 20 of the Plan, the Committee shall have the power and right to deduct or withhold, or require the Grantee to remit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6" w:lineRule="exact"/>
        <w:rPr>
          <w:rFonts w:ascii="Times New Roman" w:cs="Times New Roman" w:eastAsia="Times New Roman" w:hAnsi="Times New Roman"/>
          <w:sz w:val="17"/>
          <w:szCs w:val="17"/>
          <w:b w:val="1"/>
          <w:bCs w:val="1"/>
          <w:color w:val="auto"/>
        </w:rPr>
      </w:pPr>
    </w:p>
    <w:p>
      <w:pPr>
        <w:jc w:val="both"/>
        <w:ind w:right="80" w:firstLine="5"/>
        <w:spacing w:after="0" w:line="238" w:lineRule="auto"/>
        <w:tabs>
          <w:tab w:leader="none" w:pos="25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Ratification of Actions</w:t>
      </w:r>
      <w:r>
        <w:rPr>
          <w:rFonts w:ascii="Times New Roman" w:cs="Times New Roman" w:eastAsia="Times New Roman" w:hAnsi="Times New Roman"/>
          <w:sz w:val="17"/>
          <w:szCs w:val="17"/>
          <w:color w:val="auto"/>
        </w:rPr>
        <w:t>. By accepting this Agreement, the Grantee and each person claiming under or through the Grantee shall be conclusively deemed to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indicated the Grantee’s acceptance and ratification of, and consent to, any action taken under the Plan or this Agreement and Notice of Restricted Stock Grant by the Company, the Board or the Committee.</w:t>
      </w:r>
    </w:p>
    <w:p>
      <w:pPr>
        <w:spacing w:after="0" w:line="1" w:lineRule="exact"/>
        <w:rPr>
          <w:rFonts w:ascii="Times New Roman" w:cs="Times New Roman" w:eastAsia="Times New Roman" w:hAnsi="Times New Roman"/>
          <w:sz w:val="17"/>
          <w:szCs w:val="17"/>
          <w:b w:val="1"/>
          <w:bCs w:val="1"/>
          <w:color w:val="auto"/>
        </w:rPr>
      </w:pPr>
    </w:p>
    <w:p>
      <w:pPr>
        <w:jc w:val="both"/>
        <w:ind w:right="180" w:firstLine="5"/>
        <w:spacing w:after="0" w:line="238" w:lineRule="auto"/>
        <w:tabs>
          <w:tab w:leader="none" w:pos="231"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Any notice required by the terms of this Agreement shall be given in writing and shall be deemed effective upon personal delivery or upon deposit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2" w:lineRule="exact"/>
        <w:rPr>
          <w:rFonts w:ascii="Times New Roman" w:cs="Times New Roman" w:eastAsia="Times New Roman" w:hAnsi="Times New Roman"/>
          <w:sz w:val="17"/>
          <w:szCs w:val="17"/>
          <w:b w:val="1"/>
          <w:bCs w:val="1"/>
          <w:color w:val="auto"/>
        </w:rPr>
      </w:pPr>
    </w:p>
    <w:p>
      <w:pPr>
        <w:ind w:right="200" w:firstLine="5"/>
        <w:spacing w:after="0" w:line="238" w:lineRule="auto"/>
        <w:tabs>
          <w:tab w:leader="none" w:pos="25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Choice of Law</w:t>
      </w:r>
      <w:r>
        <w:rPr>
          <w:rFonts w:ascii="Times New Roman" w:cs="Times New Roman" w:eastAsia="Times New Roman" w:hAnsi="Times New Roman"/>
          <w:sz w:val="17"/>
          <w:szCs w:val="17"/>
          <w:color w:val="auto"/>
        </w:rPr>
        <w:t>. This Agreement and the Notice of Restricted Stock Grant shall be governed by, and construed in accordance with, the laws of Florida,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Times New Roman" w:cs="Times New Roman" w:eastAsia="Times New Roman" w:hAnsi="Times New Roman"/>
          <w:sz w:val="17"/>
          <w:szCs w:val="17"/>
          <w:b w:val="1"/>
          <w:bCs w:val="1"/>
          <w:color w:val="auto"/>
        </w:rPr>
      </w:pPr>
    </w:p>
    <w:p>
      <w:pPr>
        <w:ind w:right="100" w:firstLine="5"/>
        <w:spacing w:after="0" w:line="244" w:lineRule="auto"/>
        <w:tabs>
          <w:tab w:leader="none" w:pos="231"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Arbitration</w:t>
      </w:r>
      <w:r>
        <w:rPr>
          <w:rFonts w:ascii="Times New Roman" w:cs="Times New Roman" w:eastAsia="Times New Roman" w:hAnsi="Times New Roman"/>
          <w:sz w:val="17"/>
          <w:szCs w:val="17"/>
          <w:color w:val="auto"/>
        </w:rPr>
        <w:t>. Subject to, and in accordance with the provisions of Article 3 of the Plan, any dispute or claim arising out of or relating to the Plan,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Notice of Restricted Stock Grant shall be settled by binding arbitration before a single arbitrator in Jacksonville, Florida and in accordance with the Commercial Arbitration Rules of the American</w:t>
      </w:r>
    </w:p>
    <w:p>
      <w:pPr>
        <w:sectPr>
          <w:pgSz w:w="11900" w:h="16838" w:orient="portrait"/>
          <w:cols w:equalWidth="0" w:num="1">
            <w:col w:w="11260"/>
          </w:cols>
          <w:pgMar w:left="300" w:top="1137" w:right="339" w:bottom="1440" w:gutter="0" w:footer="0" w:header="0"/>
        </w:sectPr>
      </w:pPr>
    </w:p>
    <w:bookmarkStart w:id="218" w:name="page219"/>
    <w:bookmarkEnd w:id="218"/>
    <w:p>
      <w:pPr>
        <w:spacing w:after="0" w:line="246" w:lineRule="auto"/>
        <w:rPr>
          <w:sz w:val="20"/>
          <w:szCs w:val="20"/>
          <w:color w:val="auto"/>
        </w:rPr>
      </w:pPr>
      <w:r>
        <w:rPr>
          <w:rFonts w:ascii="Times New Roman" w:cs="Times New Roman" w:eastAsia="Times New Roman" w:hAnsi="Times New Roman"/>
          <w:sz w:val="17"/>
          <w:szCs w:val="17"/>
          <w:color w:val="auto"/>
        </w:rPr>
        <w:t>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ind w:right="120" w:firstLine="5"/>
        <w:spacing w:after="0"/>
        <w:tabs>
          <w:tab w:leader="none" w:pos="212"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Modification or Amendment</w:t>
      </w:r>
      <w:r>
        <w:rPr>
          <w:rFonts w:ascii="Times New Roman" w:cs="Times New Roman" w:eastAsia="Times New Roman" w:hAnsi="Times New Roman"/>
          <w:sz w:val="17"/>
          <w:szCs w:val="17"/>
          <w:color w:val="auto"/>
        </w:rPr>
        <w:t>. This Agreement may only be modified or amended by written agreement executed by the parties hereto; provided, however,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adjustments permitted pursuant to Section 4.3 of the Plan may be made without such written agreement.</w:t>
      </w:r>
    </w:p>
    <w:p>
      <w:pPr>
        <w:spacing w:after="0" w:line="1" w:lineRule="exact"/>
        <w:rPr>
          <w:rFonts w:ascii="Times New Roman" w:cs="Times New Roman" w:eastAsia="Times New Roman" w:hAnsi="Times New Roman"/>
          <w:sz w:val="17"/>
          <w:szCs w:val="17"/>
          <w:b w:val="1"/>
          <w:bCs w:val="1"/>
          <w:color w:val="auto"/>
        </w:rPr>
      </w:pPr>
    </w:p>
    <w:p>
      <w:pPr>
        <w:ind w:right="60" w:firstLine="5"/>
        <w:spacing w:after="0"/>
        <w:tabs>
          <w:tab w:leader="none" w:pos="24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In the event any provision of this Agreement shall be held illegal or invalid for any reason, the illegality or invalidity shall not affect the remaining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this Agreement, and this Agreement shall be construed and enforced as if such illegal or invalid provision had not been included.</w:t>
      </w:r>
    </w:p>
    <w:p>
      <w:pPr>
        <w:spacing w:after="0" w:line="1" w:lineRule="exact"/>
        <w:rPr>
          <w:rFonts w:ascii="Times New Roman" w:cs="Times New Roman" w:eastAsia="Times New Roman" w:hAnsi="Times New Roman"/>
          <w:sz w:val="17"/>
          <w:szCs w:val="17"/>
          <w:b w:val="1"/>
          <w:bCs w:val="1"/>
          <w:color w:val="auto"/>
        </w:rPr>
      </w:pPr>
    </w:p>
    <w:p>
      <w:pPr>
        <w:ind w:left="260" w:hanging="255"/>
        <w:spacing w:after="0" w:line="234" w:lineRule="auto"/>
        <w:tabs>
          <w:tab w:leader="none" w:pos="26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References to Plan</w:t>
      </w:r>
      <w:r>
        <w:rPr>
          <w:rFonts w:ascii="Times New Roman" w:cs="Times New Roman" w:eastAsia="Times New Roman" w:hAnsi="Times New Roman"/>
          <w:sz w:val="17"/>
          <w:szCs w:val="17"/>
          <w:color w:val="auto"/>
        </w:rPr>
        <w:t>. All references to the Plan shall be deemed references to the Plan as may be amended from time to time.</w:t>
      </w:r>
    </w:p>
    <w:p>
      <w:pPr>
        <w:ind w:right="20" w:firstLine="5"/>
        <w:spacing w:after="0" w:line="244" w:lineRule="auto"/>
        <w:tabs>
          <w:tab w:leader="none" w:pos="203"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Section 409A Compliance</w:t>
      </w:r>
      <w:r>
        <w:rPr>
          <w:rFonts w:ascii="Times New Roman" w:cs="Times New Roman" w:eastAsia="Times New Roman" w:hAnsi="Times New Roman"/>
          <w:sz w:val="17"/>
          <w:szCs w:val="17"/>
          <w:color w:val="auto"/>
        </w:rPr>
        <w:t>. To the extent applicable, it is intended that the Plan and this Agreement comply with the requirements of Code Section 409A and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220"/>
          </w:cols>
          <w:pgMar w:left="300" w:top="1137" w:right="379" w:bottom="1440" w:gutter="0" w:footer="0" w:header="0"/>
        </w:sectPr>
      </w:pPr>
    </w:p>
    <w:bookmarkStart w:id="219" w:name="page220"/>
    <w:bookmarkEnd w:id="219"/>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44" w:lineRule="auto"/>
        <w:tabs>
          <w:tab w:leader="none" w:pos="203"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44" w:lineRule="auto"/>
        <w:tabs>
          <w:tab w:leader="none" w:pos="203" w:val="left"/>
        </w:tabs>
        <w:rPr>
          <w:sz w:val="20"/>
          <w:szCs w:val="20"/>
          <w:color w:val="auto"/>
        </w:rPr>
      </w:pPr>
    </w:p>
    <w:p>
      <w:pPr>
        <w:sectPr>
          <w:pgSz w:w="11900" w:h="16838" w:orient="portrait"/>
          <w:cols w:equalWidth="1" w:num="1" w:space="0"/>
          <w:pgMar w:left="1440" w:top="1440" w:right="1440" w:bottom="875"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7700" w:type="dxa"/>
            <w:vAlign w:val="bottom"/>
            <w:gridSpan w:val="3"/>
          </w:tcPr>
          <w:p>
            <w:pPr>
              <w:jc w:val="center"/>
              <w:ind w:right="3429"/>
              <w:spacing w:after="0"/>
              <w:rPr>
                <w:sz w:val="20"/>
                <w:szCs w:val="20"/>
                <w:color w:val="auto"/>
              </w:rPr>
            </w:pPr>
            <w:r>
              <w:rPr>
                <w:rFonts w:ascii="Times New Roman" w:cs="Times New Roman" w:eastAsia="Times New Roman" w:hAnsi="Times New Roman"/>
                <w:sz w:val="14"/>
                <w:szCs w:val="14"/>
                <w:b w:val="1"/>
                <w:bCs w:val="1"/>
                <w:color w:val="auto"/>
              </w:rPr>
              <w:t>FIDELITY NATIONAL FINANCIAL, INC.</w:t>
            </w:r>
          </w:p>
        </w:tc>
      </w:tr>
      <w:tr>
        <w:trPr>
          <w:trHeight w:val="170"/>
        </w:trPr>
        <w:tc>
          <w:tcPr>
            <w:tcW w:w="3480" w:type="dxa"/>
            <w:vAlign w:val="bottom"/>
          </w:tcPr>
          <w:p>
            <w:pPr>
              <w:spacing w:after="0"/>
              <w:rPr>
                <w:sz w:val="14"/>
                <w:szCs w:val="14"/>
                <w:color w:val="auto"/>
              </w:rPr>
            </w:pPr>
          </w:p>
        </w:tc>
        <w:tc>
          <w:tcPr>
            <w:tcW w:w="7700" w:type="dxa"/>
            <w:vAlign w:val="bottom"/>
            <w:gridSpan w:val="3"/>
          </w:tcPr>
          <w:p>
            <w:pPr>
              <w:jc w:val="center"/>
              <w:ind w:right="3409"/>
              <w:spacing w:after="0"/>
              <w:rPr>
                <w:sz w:val="20"/>
                <w:szCs w:val="20"/>
                <w:color w:val="auto"/>
              </w:rPr>
            </w:pPr>
            <w:r>
              <w:rPr>
                <w:rFonts w:ascii="Times New Roman" w:cs="Times New Roman" w:eastAsia="Times New Roman" w:hAnsi="Times New Roman"/>
                <w:sz w:val="14"/>
                <w:szCs w:val="14"/>
                <w:b w:val="1"/>
                <w:bCs w:val="1"/>
                <w:color w:val="auto"/>
              </w:rPr>
              <w:t>List of Subsidiaries December 31, 2025</w:t>
            </w:r>
          </w:p>
        </w:tc>
      </w:tr>
      <w:tr>
        <w:trPr>
          <w:trHeight w:val="186"/>
        </w:trPr>
        <w:tc>
          <w:tcPr>
            <w:tcW w:w="3480" w:type="dxa"/>
            <w:vAlign w:val="bottom"/>
          </w:tcPr>
          <w:p>
            <w:pPr>
              <w:spacing w:after="0"/>
              <w:rPr>
                <w:sz w:val="16"/>
                <w:szCs w:val="16"/>
                <w:color w:val="auto"/>
              </w:rPr>
            </w:pPr>
          </w:p>
        </w:tc>
        <w:tc>
          <w:tcPr>
            <w:tcW w:w="7700" w:type="dxa"/>
            <w:vAlign w:val="bottom"/>
            <w:gridSpan w:val="3"/>
          </w:tcPr>
          <w:p>
            <w:pPr>
              <w:jc w:val="center"/>
              <w:ind w:right="3409"/>
              <w:spacing w:after="0"/>
              <w:rPr>
                <w:sz w:val="20"/>
                <w:szCs w:val="20"/>
                <w:color w:val="auto"/>
              </w:rPr>
            </w:pPr>
            <w:r>
              <w:rPr>
                <w:rFonts w:ascii="Times New Roman" w:cs="Times New Roman" w:eastAsia="Times New Roman" w:hAnsi="Times New Roman"/>
                <w:sz w:val="14"/>
                <w:szCs w:val="14"/>
                <w:b w:val="1"/>
                <w:bCs w:val="1"/>
                <w:color w:val="auto"/>
              </w:rPr>
              <w:t>Significant Subsidiaries</w:t>
            </w:r>
          </w:p>
        </w:tc>
      </w:tr>
      <w:tr>
        <w:trPr>
          <w:trHeight w:val="382"/>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24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39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INCORPORATION</w:t>
            </w:r>
          </w:p>
        </w:tc>
      </w:tr>
      <w:tr>
        <w:trPr>
          <w:trHeight w:val="171"/>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FNTG Holdings, LLC</w:t>
            </w:r>
          </w:p>
        </w:tc>
        <w:tc>
          <w:tcPr>
            <w:tcW w:w="3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Chicago Title Insurance Company</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National Title Group, Inc.</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ServiceLink Holdings, Inc.</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Fidelity National Title Insurance Company</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Commonwealth Land Title Insurance Company</w:t>
            </w:r>
          </w:p>
        </w:tc>
        <w:tc>
          <w:tcPr>
            <w:tcW w:w="3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F&amp;G Annuities &amp; Life, Inc.</w:t>
            </w:r>
          </w:p>
        </w:tc>
        <w:tc>
          <w:tcPr>
            <w:tcW w:w="3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20"/>
          </w:cols>
          <w:pgMar w:left="360" w:top="727" w:right="31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ERNST &amp; YOUNG LLP,</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INDEPENDENT REGISTERED PUBLIC ACCOUNTING FIRM</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2" w:lineRule="exact"/>
        <w:rPr>
          <w:sz w:val="20"/>
          <w:szCs w:val="20"/>
          <w:color w:val="auto"/>
        </w:rPr>
      </w:pPr>
    </w:p>
    <w:p>
      <w:pPr>
        <w:ind w:left="520" w:hanging="260"/>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S-3 Nos. 333-157123, 333-147391, 333-174650, 333-238860, 333-239002, 333-271691, 333-271692) of Fidelity National Financial, Inc.</w:t>
      </w:r>
    </w:p>
    <w:p>
      <w:pPr>
        <w:ind w:left="520" w:hanging="260"/>
        <w:spacing w:after="0"/>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S-4 Nos. 333-231213, 333-194938, 333-190902, 333-237540) of Fidelity National Financial, Inc.</w:t>
      </w:r>
    </w:p>
    <w:p>
      <w:pPr>
        <w:spacing w:after="0" w:line="7" w:lineRule="exact"/>
        <w:rPr>
          <w:rFonts w:ascii="Times New Roman" w:cs="Times New Roman" w:eastAsia="Times New Roman" w:hAnsi="Times New Roman"/>
          <w:sz w:val="14"/>
          <w:szCs w:val="14"/>
          <w:color w:val="auto"/>
        </w:rPr>
      </w:pPr>
    </w:p>
    <w:p>
      <w:pPr>
        <w:ind w:left="520" w:hanging="260"/>
        <w:spacing w:after="0" w:line="250" w:lineRule="auto"/>
        <w:tabs>
          <w:tab w:leader="none" w:pos="5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Statements (Form S-8 Nos. 333-197249, 333-190527, 333-157643, 333-132843, 333-138254, 333-129886, 333-129016, 333-176395, 333-213427, 333-238853, 333-266992) of Fidelity National Financial, Inc.</w:t>
      </w:r>
    </w:p>
    <w:p>
      <w:pPr>
        <w:spacing w:after="0" w:line="16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reports dated February 26, 2026, with respect to the consolidated financial statements and schedules of Fidelity National Financial, Inc. and subsidiaries and the effectiveness of internal control over financial reporting of Fidelity National Financial, Inc. and subsidiaries included in this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Ernst &amp; Young LLP</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Jacksonville, Florida</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26, 2026</w:t>
      </w:r>
    </w:p>
    <w:p>
      <w:pPr>
        <w:sectPr>
          <w:pgSz w:w="11900" w:h="16838" w:orient="portrait"/>
          <w:cols w:equalWidth="0" w:num="1">
            <w:col w:w="11280"/>
          </w:cols>
          <w:pgMar w:left="300" w:top="727" w:right="31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Michael J. Nolan, certify that:</w:t>
      </w:r>
    </w:p>
    <w:p>
      <w:pPr>
        <w:spacing w:after="0" w:line="122" w:lineRule="exact"/>
        <w:rPr>
          <w:sz w:val="20"/>
          <w:szCs w:val="20"/>
          <w:color w:val="auto"/>
        </w:rPr>
      </w:pPr>
    </w:p>
    <w:p>
      <w:pPr>
        <w:ind w:left="140" w:hanging="135"/>
        <w:spacing w:after="0"/>
        <w:tabs>
          <w:tab w:leader="none" w:pos="1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Fidelity National Financial, Inc.;</w:t>
      </w:r>
    </w:p>
    <w:p>
      <w:pPr>
        <w:spacing w:after="0" w:line="136"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8"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5"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160" w:hanging="773"/>
        <w:spacing w:after="0" w:line="287" w:lineRule="auto"/>
        <w:tabs>
          <w:tab w:leader="none" w:pos="1155"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140" w:hanging="753"/>
        <w:spacing w:after="0"/>
        <w:tabs>
          <w:tab w:leader="none" w:pos="1140"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February 26, 2026</w:t>
      </w:r>
    </w:p>
    <w:p>
      <w:pPr>
        <w:spacing w:after="0" w:line="39" w:lineRule="exact"/>
        <w:rPr>
          <w:sz w:val="20"/>
          <w:szCs w:val="20"/>
          <w:color w:val="auto"/>
        </w:rPr>
      </w:pPr>
    </w:p>
    <w:p>
      <w:pPr>
        <w:ind w:left="520"/>
        <w:spacing w:after="0"/>
        <w:tabs>
          <w:tab w:leader="none" w:pos="112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Michael J.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15875</wp:posOffset>
            </wp:positionV>
            <wp:extent cx="264795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45">
                      <a:extLst>
                        <a:ext uri="{28A0092B-C50C-407E-A947-70E740481C1C}"/>
                      </a:extLst>
                    </a:blip>
                    <a:srcRect/>
                    <a:stretch>
                      <a:fillRect/>
                    </a:stretch>
                  </pic:blipFill>
                  <pic:spPr bwMode="auto">
                    <a:xfrm>
                      <a:off x="0" y="0"/>
                      <a:ext cx="2647950" cy="6985"/>
                    </a:xfrm>
                    <a:prstGeom prst="rect">
                      <a:avLst/>
                    </a:prstGeom>
                    <a:noFill/>
                  </pic:spPr>
                </pic:pic>
              </a:graphicData>
            </a:graphic>
          </wp:anchor>
        </w:drawing>
      </w:r>
    </w:p>
    <w:p>
      <w:pPr>
        <w:spacing w:after="0" w:line="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Michael J. Nolan</w:t>
      </w:r>
    </w:p>
    <w:p>
      <w:pPr>
        <w:ind w:left="114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7" w:right="31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Anthony J. Park, certify that:</w:t>
      </w:r>
    </w:p>
    <w:p>
      <w:pPr>
        <w:spacing w:after="0" w:line="122" w:lineRule="exact"/>
        <w:rPr>
          <w:sz w:val="20"/>
          <w:szCs w:val="20"/>
          <w:color w:val="auto"/>
        </w:rPr>
      </w:pPr>
    </w:p>
    <w:p>
      <w:pPr>
        <w:ind w:left="140" w:hanging="135"/>
        <w:spacing w:after="0"/>
        <w:tabs>
          <w:tab w:leader="none" w:pos="1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Fidelity National Financial, Inc.;</w:t>
      </w:r>
    </w:p>
    <w:p>
      <w:pPr>
        <w:spacing w:after="0" w:line="136" w:lineRule="exact"/>
        <w:rPr>
          <w:rFonts w:ascii="Times New Roman" w:cs="Times New Roman" w:eastAsia="Times New Roman" w:hAnsi="Times New Roman"/>
          <w:sz w:val="14"/>
          <w:szCs w:val="14"/>
          <w:color w:val="auto"/>
        </w:rPr>
      </w:pPr>
    </w:p>
    <w:p>
      <w:pPr>
        <w:ind w:firstLine="5"/>
        <w:spacing w:after="0" w:line="287" w:lineRule="auto"/>
        <w:tabs>
          <w:tab w:leader="none" w:pos="149"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3"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4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8"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Times New Roman" w:cs="Times New Roman" w:eastAsia="Times New Roman" w:hAnsi="Times New Roman"/>
          <w:sz w:val="14"/>
          <w:szCs w:val="14"/>
          <w:color w:val="auto"/>
        </w:rPr>
      </w:pPr>
    </w:p>
    <w:p>
      <w:pPr>
        <w:jc w:val="both"/>
        <w:ind w:left="1160" w:hanging="773"/>
        <w:spacing w:after="0" w:line="270" w:lineRule="auto"/>
        <w:tabs>
          <w:tab w:leader="none" w:pos="1155"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6"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160" w:hanging="773"/>
        <w:spacing w:after="0" w:line="287" w:lineRule="auto"/>
        <w:tabs>
          <w:tab w:leader="none" w:pos="1155"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firstLine="5"/>
        <w:spacing w:after="0" w:line="287" w:lineRule="auto"/>
        <w:tabs>
          <w:tab w:leader="none" w:pos="146"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160" w:hanging="773"/>
        <w:spacing w:after="0" w:line="287" w:lineRule="auto"/>
        <w:tabs>
          <w:tab w:leader="none" w:pos="1158"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140" w:hanging="753"/>
        <w:spacing w:after="0"/>
        <w:tabs>
          <w:tab w:leader="none" w:pos="114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1900"/>
        <w:spacing w:after="0"/>
        <w:tabs>
          <w:tab w:leader="none" w:pos="25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15875</wp:posOffset>
            </wp:positionV>
            <wp:extent cx="264795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46">
                      <a:extLst>
                        <a:ext uri="{28A0092B-C50C-407E-A947-70E740481C1C}"/>
                      </a:extLst>
                    </a:blip>
                    <a:srcRect/>
                    <a:stretch>
                      <a:fillRect/>
                    </a:stretch>
                  </pic:blipFill>
                  <pic:spPr bwMode="auto">
                    <a:xfrm>
                      <a:off x="0" y="0"/>
                      <a:ext cx="2647950" cy="6985"/>
                    </a:xfrm>
                    <a:prstGeom prst="rect">
                      <a:avLst/>
                    </a:prstGeom>
                    <a:noFill/>
                  </pic:spPr>
                </pic:pic>
              </a:graphicData>
            </a:graphic>
          </wp:anchor>
        </w:drawing>
      </w:r>
    </w:p>
    <w:p>
      <w:pPr>
        <w:spacing w:after="0" w:line="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Anthony J. Park</w:t>
      </w:r>
    </w:p>
    <w:p>
      <w:pPr>
        <w:ind w:left="2520"/>
        <w:spacing w:after="0" w:line="181" w:lineRule="auto"/>
        <w:rPr>
          <w:sz w:val="20"/>
          <w:szCs w:val="20"/>
          <w:color w:val="auto"/>
        </w:rPr>
      </w:pPr>
      <w:r>
        <w:rPr>
          <w:rFonts w:ascii="Times New Roman" w:cs="Times New Roman" w:eastAsia="Times New Roman" w:hAnsi="Times New Roman"/>
          <w:sz w:val="11"/>
          <w:szCs w:val="11"/>
          <w:color w:val="auto"/>
        </w:rPr>
        <w:t>Chief Financial Officer</w:t>
      </w:r>
    </w:p>
    <w:p>
      <w:pPr>
        <w:spacing w:after="0"/>
        <w:rPr>
          <w:sz w:val="20"/>
          <w:szCs w:val="20"/>
          <w:color w:val="auto"/>
        </w:rPr>
      </w:pPr>
      <w:r>
        <w:rPr>
          <w:rFonts w:ascii="Times New Roman" w:cs="Times New Roman" w:eastAsia="Times New Roman" w:hAnsi="Times New Roman"/>
          <w:sz w:val="14"/>
          <w:szCs w:val="14"/>
          <w:color w:val="auto"/>
        </w:rPr>
        <w:t>Date: February 26, 2026</w:t>
      </w:r>
    </w:p>
    <w:p>
      <w:pPr>
        <w:sectPr>
          <w:pgSz w:w="11900" w:h="16838" w:orient="portrait"/>
          <w:cols w:equalWidth="0" w:num="1">
            <w:col w:w="11280"/>
          </w:cols>
          <w:pgMar w:left="300" w:top="727" w:right="31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202" w:lineRule="exact"/>
        <w:rPr>
          <w:sz w:val="20"/>
          <w:szCs w:val="20"/>
          <w:color w:val="auto"/>
        </w:rPr>
      </w:pPr>
    </w:p>
    <w:p>
      <w:pPr>
        <w:ind w:firstLine="202"/>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Executive Officer of Fidelity National Financial, Inc., a Nevada corporation (the “Company”), and hereby further certifies as follows.</w:t>
      </w:r>
    </w:p>
    <w:p>
      <w:pPr>
        <w:spacing w:after="0" w:line="82" w:lineRule="exact"/>
        <w:rPr>
          <w:sz w:val="20"/>
          <w:szCs w:val="20"/>
          <w:color w:val="auto"/>
        </w:rPr>
      </w:pPr>
    </w:p>
    <w:p>
      <w:pPr>
        <w:ind w:left="700" w:hanging="695"/>
        <w:spacing w:after="0" w:line="287" w:lineRule="auto"/>
        <w:tabs>
          <w:tab w:leader="none" w:pos="7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145" w:lineRule="exact"/>
        <w:rPr>
          <w:rFonts w:ascii="Times New Roman" w:cs="Times New Roman" w:eastAsia="Times New Roman" w:hAnsi="Times New Roman"/>
          <w:sz w:val="14"/>
          <w:szCs w:val="14"/>
          <w:color w:val="auto"/>
        </w:rPr>
      </w:pPr>
    </w:p>
    <w:p>
      <w:pPr>
        <w:ind w:left="700" w:hanging="695"/>
        <w:spacing w:after="0" w:line="287" w:lineRule="auto"/>
        <w:tabs>
          <w:tab w:leader="none" w:pos="70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ind w:left="140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Michael J. Nolan</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Michael J. Nolan</w:t>
            </w:r>
          </w:p>
        </w:tc>
        <w:tc>
          <w:tcPr>
            <w:tcW w:w="0" w:type="dxa"/>
            <w:vAlign w:val="bottom"/>
          </w:tcPr>
          <w:p>
            <w:pPr>
              <w:spacing w:after="0"/>
              <w:rPr>
                <w:sz w:val="1"/>
                <w:szCs w:val="1"/>
                <w:color w:val="auto"/>
              </w:rPr>
            </w:pPr>
          </w:p>
        </w:tc>
      </w:tr>
      <w:tr>
        <w:trPr>
          <w:trHeight w:val="184"/>
        </w:trPr>
        <w:tc>
          <w:tcPr>
            <w:tcW w:w="22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February 26, 2026</w:t>
            </w: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c>
          <w:tcPr>
            <w:tcW w:w="0" w:type="dxa"/>
            <w:vAlign w:val="bottom"/>
          </w:tcPr>
          <w:p>
            <w:pPr>
              <w:spacing w:after="0"/>
              <w:rPr>
                <w:sz w:val="1"/>
                <w:szCs w:val="1"/>
                <w:color w:val="auto"/>
              </w:rPr>
            </w:pPr>
          </w:p>
        </w:tc>
      </w:tr>
      <w:tr>
        <w:trPr>
          <w:trHeight w:val="85"/>
        </w:trPr>
        <w:tc>
          <w:tcPr>
            <w:tcW w:w="224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919" w:right="31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PERIODIC FINANCIAL REPORTS PURSUANT TO 18 U.S.C. §1350</w:t>
      </w:r>
    </w:p>
    <w:p>
      <w:pPr>
        <w:spacing w:after="0" w:line="138" w:lineRule="exact"/>
        <w:rPr>
          <w:sz w:val="20"/>
          <w:szCs w:val="20"/>
          <w:color w:val="auto"/>
        </w:rPr>
      </w:pPr>
    </w:p>
    <w:p>
      <w:pPr>
        <w:ind w:firstLine="209"/>
        <w:spacing w:after="0" w:line="287" w:lineRule="auto"/>
        <w:rPr>
          <w:sz w:val="20"/>
          <w:szCs w:val="20"/>
          <w:color w:val="auto"/>
        </w:rPr>
      </w:pPr>
      <w:r>
        <w:rPr>
          <w:rFonts w:ascii="Times New Roman" w:cs="Times New Roman" w:eastAsia="Times New Roman" w:hAnsi="Times New Roman"/>
          <w:sz w:val="14"/>
          <w:szCs w:val="14"/>
          <w:color w:val="auto"/>
        </w:rPr>
        <w:t>The undersigned hereby certifies that he is the duly appointed and acting Chief Financial Officer of Fidelity National Financial, Inc., a Nevada corporation (the “Company”), and hereby further certifies as follows.</w:t>
      </w:r>
    </w:p>
    <w:p>
      <w:pPr>
        <w:spacing w:after="0" w:line="82" w:lineRule="exact"/>
        <w:rPr>
          <w:sz w:val="20"/>
          <w:szCs w:val="20"/>
          <w:color w:val="auto"/>
        </w:rPr>
      </w:pPr>
    </w:p>
    <w:p>
      <w:pPr>
        <w:ind w:left="700" w:hanging="695"/>
        <w:spacing w:after="0" w:line="287" w:lineRule="auto"/>
        <w:tabs>
          <w:tab w:leader="none" w:pos="7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periodic report containing financial statements to which this certificate is an exhibit fully complies with the requirements of Section 13(a) or 15(d) of the Securities Exchange Act of 1934.</w:t>
      </w:r>
    </w:p>
    <w:p>
      <w:pPr>
        <w:spacing w:after="0" w:line="145" w:lineRule="exact"/>
        <w:rPr>
          <w:rFonts w:ascii="Times New Roman" w:cs="Times New Roman" w:eastAsia="Times New Roman" w:hAnsi="Times New Roman"/>
          <w:sz w:val="14"/>
          <w:szCs w:val="14"/>
          <w:color w:val="auto"/>
        </w:rPr>
      </w:pPr>
    </w:p>
    <w:p>
      <w:pPr>
        <w:ind w:left="700" w:hanging="695"/>
        <w:spacing w:after="0" w:line="287" w:lineRule="auto"/>
        <w:tabs>
          <w:tab w:leader="none" w:pos="7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periodic report to which this certificate is an exhibit fairly presents, in all material respects, the financial condition and results of operations of the Company.</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witness whereof, the undersigned has executed and delivered this certificate as of the date set forth opposite his signature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Anthony J. Park</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Anthony J. Park</w:t>
            </w:r>
          </w:p>
        </w:tc>
        <w:tc>
          <w:tcPr>
            <w:tcW w:w="0" w:type="dxa"/>
            <w:vAlign w:val="bottom"/>
          </w:tcPr>
          <w:p>
            <w:pPr>
              <w:spacing w:after="0"/>
              <w:rPr>
                <w:sz w:val="1"/>
                <w:szCs w:val="1"/>
                <w:color w:val="auto"/>
              </w:rPr>
            </w:pPr>
          </w:p>
        </w:tc>
      </w:t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February 26, 2026</w:t>
            </w:r>
          </w:p>
        </w:tc>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5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1)"/>
      <w:numFmt w:val="decimal"/>
      <w:start w:val="1"/>
    </w:lvl>
  </w:abstractNum>
  <w:abstractNum w:abstractNumId="19">
    <w:nsid w:val="75C6C33A"/>
    <w:multiLevelType w:val="hybridMultilevel"/>
    <w:lvl w:ilvl="0">
      <w:lvlJc w:val="left"/>
      <w:lvlText w:val="(%1)"/>
      <w:numFmt w:val="decimal"/>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lowerRoman"/>
      <w:start w:val="2"/>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lowerLetter"/>
      <w:start w:val="1"/>
    </w:lvl>
    <w:lvl w:ilvl="1">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abstractNum>
  <w:abstractNum w:abstractNumId="36">
    <w:nsid w:val="D34B6A8"/>
    <w:multiLevelType w:val="hybridMultilevel"/>
    <w:lvl w:ilvl="0">
      <w:lvlJc w:val="left"/>
      <w:lvlText w:val="•"/>
      <w:numFmt w:val="bullet"/>
      <w:start w:val="1"/>
    </w:lvl>
    <w:lvl w:ilvl="1">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1)"/>
      <w:numFmt w:val="lowerLetter"/>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1)"/>
      <w:numFmt w:val="lowerLetter"/>
      <w:start w:val="1"/>
    </w:lvl>
  </w:abstractNum>
  <w:abstractNum w:abstractNumId="46">
    <w:nsid w:val="25A70BF7"/>
    <w:multiLevelType w:val="hybridMultilevel"/>
    <w:lvl w:ilvl="0">
      <w:lvlJc w:val="left"/>
      <w:lvlText w:val="(%1)"/>
      <w:numFmt w:val="lowerLetter"/>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3"/>
    </w:lvl>
  </w:abstractNum>
  <w:abstractNum w:abstractNumId="49">
    <w:nsid w:val="1F48EAA1"/>
    <w:multiLevelType w:val="hybridMultilevel"/>
    <w:lvl w:ilvl="0">
      <w:lvlJc w:val="left"/>
      <w:lvlText w:val="(%1)"/>
      <w:numFmt w:val="lowerLetter"/>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lowerLetter"/>
      <w:start w:val="1"/>
    </w:lvl>
  </w:abstractNum>
  <w:abstractNum w:abstractNumId="53">
    <w:nsid w:val="6590700B"/>
    <w:multiLevelType w:val="hybridMultilevel"/>
    <w:lvl w:ilvl="0">
      <w:lvlJc w:val="left"/>
      <w:lvlText w:val="(%1)"/>
      <w:numFmt w:val="lowerLetter"/>
      <w:start w:val="1"/>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1)"/>
      <w:numFmt w:val="lowerRoman"/>
      <w:start w:val="1"/>
    </w:lvl>
  </w:abstractNum>
  <w:abstractNum w:abstractNumId="56">
    <w:nsid w:val="98A3148"/>
    <w:multiLevelType w:val="hybridMultilevel"/>
    <w:lvl w:ilvl="0">
      <w:lvlJc w:val="left"/>
      <w:lvlText w:val="(%1)"/>
      <w:numFmt w:val="decimal"/>
      <w:start w:val="1"/>
    </w:lvl>
  </w:abstractNum>
  <w:abstractNum w:abstractNumId="57">
    <w:nsid w:val="799D0247"/>
    <w:multiLevelType w:val="hybridMultilevel"/>
    <w:lvl w:ilvl="0">
      <w:lvlJc w:val="left"/>
      <w:lvlText w:val="(%1)"/>
      <w:numFmt w:val="lowerLetter"/>
      <w:start w:val="1"/>
    </w:lvl>
  </w:abstractNum>
  <w:abstractNum w:abstractNumId="58">
    <w:nsid w:val="6B94764"/>
    <w:multiLevelType w:val="hybridMultilevel"/>
    <w:lvl w:ilvl="0">
      <w:lvlJc w:val="left"/>
      <w:lvlText w:val="(%1)"/>
      <w:numFmt w:val="lowerLetter"/>
      <w:start w:val="5"/>
    </w:lvl>
  </w:abstractNum>
  <w:abstractNum w:abstractNumId="59">
    <w:nsid w:val="42C296BD"/>
    <w:multiLevelType w:val="hybridMultilevel"/>
    <w:lvl w:ilvl="0">
      <w:lvlJc w:val="left"/>
      <w:lvlText w:val="(%1)"/>
      <w:numFmt w:val="lowerLetter"/>
      <w:start w:val="1"/>
    </w:lvl>
  </w:abstractNum>
  <w:abstractNum w:abstractNumId="60">
    <w:nsid w:val="168E121F"/>
    <w:multiLevelType w:val="hybridMultilevel"/>
    <w:lvl w:ilvl="0">
      <w:lvlJc w:val="left"/>
      <w:lvlText w:val="(%1)"/>
      <w:numFmt w:val="lowerLetter"/>
      <w:start w:val="1"/>
    </w:lvl>
  </w:abstractNum>
  <w:abstractNum w:abstractNumId="61">
    <w:nsid w:val="1EBA5D23"/>
    <w:multiLevelType w:val="hybridMultilevel"/>
    <w:lvl w:ilvl="0">
      <w:lvlJc w:val="left"/>
      <w:lvlText w:val="%1"/>
      <w:numFmt w:val="decimal"/>
      <w:start w:val="1"/>
    </w:lvl>
    <w:lvl w:ilvl="1">
      <w:lvlJc w:val="left"/>
      <w:lvlText w:val="%2"/>
      <w:numFmt w:val="decimal"/>
      <w:start w:val="104"/>
    </w:lvl>
  </w:abstractNum>
  <w:abstractNum w:abstractNumId="62">
    <w:nsid w:val="661E3F1E"/>
    <w:multiLevelType w:val="hybridMultilevel"/>
    <w:lvl w:ilvl="0">
      <w:lvlJc w:val="left"/>
      <w:lvlText w:val="(%1)"/>
      <w:numFmt w:val="decimal"/>
      <w:start w:val="1"/>
    </w:lvl>
    <w:lvl w:ilvl="1">
      <w:lvlJc w:val="left"/>
      <w:lvlText w:val="%2"/>
      <w:numFmt w:val="decimal"/>
      <w:start w:val="1"/>
    </w:lvl>
  </w:abstractNum>
  <w:abstractNum w:abstractNumId="63">
    <w:nsid w:val="5DC79EA8"/>
    <w:multiLevelType w:val="hybridMultilevel"/>
    <w:lvl w:ilvl="0">
      <w:lvlJc w:val="left"/>
      <w:lvlText w:val="(%1)"/>
      <w:numFmt w:val="lowerLetter"/>
      <w:start w:val="1"/>
    </w:lvl>
  </w:abstractNum>
  <w:abstractNum w:abstractNumId="64">
    <w:nsid w:val="540A471C"/>
    <w:multiLevelType w:val="hybridMultilevel"/>
    <w:lvl w:ilvl="0">
      <w:lvlJc w:val="left"/>
      <w:lvlText w:val="(%1)"/>
      <w:numFmt w:val="lowerLetter"/>
      <w:start w:val="1"/>
    </w:lvl>
    <w:lvl w:ilvl="1">
      <w:lvlJc w:val="left"/>
      <w:lvlText w:val="(%2)"/>
      <w:numFmt w:val="lowerRoman"/>
      <w:start w:val="1"/>
    </w:lvl>
  </w:abstractNum>
  <w:abstractNum w:abstractNumId="65">
    <w:nsid w:val="7BD3EE7B"/>
    <w:multiLevelType w:val="hybridMultilevel"/>
    <w:lvl w:ilvl="0">
      <w:lvlJc w:val="left"/>
      <w:lvlText w:val="(%1)"/>
      <w:numFmt w:val="lowerRoman"/>
      <w:start w:val="3"/>
    </w:lvl>
  </w:abstractNum>
  <w:abstractNum w:abstractNumId="66">
    <w:nsid w:val="51D9C564"/>
    <w:multiLevelType w:val="hybridMultilevel"/>
    <w:lvl w:ilvl="0">
      <w:lvlJc w:val="left"/>
      <w:lvlText w:val="%1"/>
      <w:numFmt w:val="lowerLetter"/>
      <w:start w:val="1"/>
    </w:lvl>
    <w:lvl w:ilvl="1">
      <w:lvlJc w:val="left"/>
      <w:lvlText w:val="(%2)"/>
      <w:numFmt w:val="lowerRoman"/>
      <w:start w:val="4"/>
    </w:lvl>
  </w:abstractNum>
  <w:abstractNum w:abstractNumId="67">
    <w:nsid w:val="613EFDC5"/>
    <w:multiLevelType w:val="hybridMultilevel"/>
    <w:lvl w:ilvl="0">
      <w:lvlJc w:val="left"/>
      <w:lvlText w:val="(%1)"/>
      <w:numFmt w:val="lowerLetter"/>
      <w:start w:val="2"/>
    </w:lvl>
    <w:lvl w:ilvl="1">
      <w:lvlJc w:val="left"/>
      <w:lvlText w:val="%2"/>
      <w:numFmt w:val="lowerRoman"/>
      <w:start w:val="1"/>
    </w:lvl>
  </w:abstractNum>
  <w:abstractNum w:abstractNumId="68">
    <w:nsid w:val="BF72B14"/>
    <w:multiLevelType w:val="hybridMultilevel"/>
    <w:lvl w:ilvl="0">
      <w:lvlJc w:val="left"/>
      <w:lvlText w:val="(%1)"/>
      <w:numFmt w:val="lowerLetter"/>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5"/>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1"/>
    </w:lvl>
    <w:lvl w:ilvl="1">
      <w:lvlJc w:val="left"/>
      <w:lvlText w:val="(%2)"/>
      <w:numFmt w:val="lowerLetter"/>
      <w:start w:val="9"/>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1)"/>
      <w:numFmt w:val="lowerRoman"/>
      <w:start w:val="3"/>
    </w:lvl>
  </w:abstractNum>
  <w:abstractNum w:abstractNumId="75">
    <w:nsid w:val="68EB2F63"/>
    <w:multiLevelType w:val="hybridMultilevel"/>
    <w:lvl w:ilvl="0">
      <w:lvlJc w:val="left"/>
      <w:lvlText w:val="(%1)"/>
      <w:numFmt w:val="lowerLetter"/>
      <w:start w:val="2"/>
    </w:lvl>
  </w:abstractNum>
  <w:abstractNum w:abstractNumId="76">
    <w:nsid w:val="4962813B"/>
    <w:multiLevelType w:val="hybridMultilevel"/>
    <w:lvl w:ilvl="0">
      <w:lvlJc w:val="left"/>
      <w:lvlText w:val="(%1)"/>
      <w:numFmt w:val="lowerLetter"/>
      <w:start w:val="1"/>
    </w:lvl>
  </w:abstractNum>
  <w:abstractNum w:abstractNumId="77">
    <w:nsid w:val="60B6DF70"/>
    <w:multiLevelType w:val="hybridMultilevel"/>
    <w:lvl w:ilvl="0">
      <w:lvlJc w:val="left"/>
      <w:lvlText w:val="(%1)"/>
      <w:numFmt w:val="lowerLetter"/>
      <w:start w:val="1"/>
    </w:lvl>
  </w:abstractNum>
  <w:abstractNum w:abstractNumId="78">
    <w:nsid w:val="6A5EE64"/>
    <w:multiLevelType w:val="hybridMultilevel"/>
    <w:lvl w:ilvl="0">
      <w:lvlJc w:val="left"/>
      <w:lvlText w:val="(%1)"/>
      <w:numFmt w:val="lowerLetter"/>
      <w:start w:val="6"/>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59" Type="http://schemas.openxmlformats.org/officeDocument/2006/relationships/image" Target="media/image236.png"/><Relationship Id="rId274" Type="http://schemas.openxmlformats.org/officeDocument/2006/relationships/image" Target="media/image237.png"/><Relationship Id="rId275" Type="http://schemas.openxmlformats.org/officeDocument/2006/relationships/image" Target="media/image238.png"/><Relationship Id="rId296" Type="http://schemas.openxmlformats.org/officeDocument/2006/relationships/image" Target="media/image239.png"/><Relationship Id="rId310" Type="http://schemas.openxmlformats.org/officeDocument/2006/relationships/image" Target="media/image240.png"/><Relationship Id="rId322" Type="http://schemas.openxmlformats.org/officeDocument/2006/relationships/image" Target="media/image241.png"/><Relationship Id="rId324" Type="http://schemas.openxmlformats.org/officeDocument/2006/relationships/image" Target="media/image242.png"/><Relationship Id="rId325" Type="http://schemas.openxmlformats.org/officeDocument/2006/relationships/image" Target="media/image243.png"/><Relationship Id="rId326" Type="http://schemas.openxmlformats.org/officeDocument/2006/relationships/image" Target="media/image244.png"/><Relationship Id="rId327" Type="http://schemas.openxmlformats.org/officeDocument/2006/relationships/image" Target="media/image245.png"/><Relationship Id="rId328" Type="http://schemas.openxmlformats.org/officeDocument/2006/relationships/image" Target="media/image246.png"/><Relationship Id="rId329" Type="http://schemas.openxmlformats.org/officeDocument/2006/relationships/image" Target="media/image247.png"/><Relationship Id="rId330" Type="http://schemas.openxmlformats.org/officeDocument/2006/relationships/image" Target="media/image248.png"/><Relationship Id="rId331" Type="http://schemas.openxmlformats.org/officeDocument/2006/relationships/image" Target="media/image249.png"/><Relationship Id="rId332" Type="http://schemas.openxmlformats.org/officeDocument/2006/relationships/image" Target="media/image250.png"/><Relationship Id="rId333" Type="http://schemas.openxmlformats.org/officeDocument/2006/relationships/image" Target="media/image251.png"/><Relationship Id="rId334" Type="http://schemas.openxmlformats.org/officeDocument/2006/relationships/image" Target="media/image252.png"/><Relationship Id="rId335" Type="http://schemas.openxmlformats.org/officeDocument/2006/relationships/image" Target="media/image253.png"/><Relationship Id="rId336" Type="http://schemas.openxmlformats.org/officeDocument/2006/relationships/image" Target="media/image254.png"/><Relationship Id="rId337" Type="http://schemas.openxmlformats.org/officeDocument/2006/relationships/image" Target="media/image255.png"/><Relationship Id="rId338" Type="http://schemas.openxmlformats.org/officeDocument/2006/relationships/image" Target="media/image256.png"/><Relationship Id="rId339" Type="http://schemas.openxmlformats.org/officeDocument/2006/relationships/image" Target="media/image257.png"/><Relationship Id="rId340" Type="http://schemas.openxmlformats.org/officeDocument/2006/relationships/image" Target="media/image258.png"/><Relationship Id="rId341" Type="http://schemas.openxmlformats.org/officeDocument/2006/relationships/image" Target="media/image259.png"/><Relationship Id="rId342" Type="http://schemas.openxmlformats.org/officeDocument/2006/relationships/image" Target="media/image260.png"/><Relationship Id="rId343" Type="http://schemas.openxmlformats.org/officeDocument/2006/relationships/image" Target="media/image261.png"/><Relationship Id="rId344" Type="http://schemas.openxmlformats.org/officeDocument/2006/relationships/image" Target="media/image262.png"/><Relationship Id="rId345" Type="http://schemas.openxmlformats.org/officeDocument/2006/relationships/image" Target="media/image263.png"/><Relationship Id="rId346" Type="http://schemas.openxmlformats.org/officeDocument/2006/relationships/image" Target="media/image264.png"/><Relationship Id="rId243" Type="http://schemas.openxmlformats.org/officeDocument/2006/relationships/hyperlink" Target="https://www.sec.gov/Archives/edgar/data/1331875/000110465920012350/tm207083d1_ex2-1.htm" TargetMode="External"/><Relationship Id="rId244" Type="http://schemas.openxmlformats.org/officeDocument/2006/relationships/hyperlink" Target="https://www.sec.gov/Archives/edgar/data/1331875/000104746920002579/a2241436zs-4a.htm#annb" TargetMode="External"/><Relationship Id="rId245" Type="http://schemas.openxmlformats.org/officeDocument/2006/relationships/hyperlink" Target="https://www.sec.gov/Archives/edgar/data/1331875/000133187522000100/exhibit21-fg8xk.htm" TargetMode="External"/><Relationship Id="rId246" Type="http://schemas.openxmlformats.org/officeDocument/2006/relationships/hyperlink" Target="https://www.sec.gov/Archives/edgar/data/1331875/000133187525000046/fnf-planofconversion2025.htm" TargetMode="External"/><Relationship Id="rId247" Type="http://schemas.openxmlformats.org/officeDocument/2006/relationships/hyperlink" Target="https://www.sec.gov/Archives/edgar/data/1331875/000133187525000046/fidelitynationalfinancia.htm" TargetMode="External"/><Relationship Id="rId248" Type="http://schemas.openxmlformats.org/officeDocument/2006/relationships/hyperlink" Target="https://www.sec.gov/Archives/edgar/data/1331875/000133187525000046/fnf-bylawsnevadafinal339.htm" TargetMode="External"/><Relationship Id="rId249" Type="http://schemas.openxmlformats.org/officeDocument/2006/relationships/hyperlink" Target="https://www.sec.gov/Archives/edgar/data/1331875/000095013406005246/a16815exv4w1.txt" TargetMode="External"/><Relationship Id="rId250" Type="http://schemas.openxmlformats.org/officeDocument/2006/relationships/hyperlink" Target="https://www.sec.gov/Archives/edgar/data/1331875/000089256906000049/a16429exv4w1.htm" TargetMode="External"/><Relationship Id="rId251" Type="http://schemas.openxmlformats.org/officeDocument/2006/relationships/hyperlink" Target="https://www.sec.gov/Archives/edgar/data/1331875/000095012310044230/g23229exv4w1.htm" TargetMode="External"/><Relationship Id="rId252" Type="http://schemas.openxmlformats.org/officeDocument/2006/relationships/hyperlink" Target="https://www.sec.gov/Archives/edgar/data/1331875/000119312514255770/d750947dex41.htm" TargetMode="External"/><Relationship Id="rId253" Type="http://schemas.openxmlformats.org/officeDocument/2006/relationships/hyperlink" Target="https://www.sec.gov/Archives/edgar/data/1331875/000089256907001411/a35688exv4w2xay.htm" TargetMode="External"/><Relationship Id="rId254" Type="http://schemas.openxmlformats.org/officeDocument/2006/relationships/hyperlink" Target="https://www.sec.gov/Archives/edgar/data/1331875/000133187518000051/exhibit44-fourthsupplement.htm" TargetMode="External"/><Relationship Id="rId255" Type="http://schemas.openxmlformats.org/officeDocument/2006/relationships/hyperlink" Target="https://www.sec.gov/Archives/edgar/data/1331875/000119312514182698/d702315dex41.htm" TargetMode="External"/><Relationship Id="rId256" Type="http://schemas.openxmlformats.org/officeDocument/2006/relationships/hyperlink" Target="https://www.sec.gov/Archives/edgar/data/1331875/000133187520000008/ex49descriptionoffnfco.htm" TargetMode="External"/><Relationship Id="rId257" Type="http://schemas.openxmlformats.org/officeDocument/2006/relationships/hyperlink" Target="https://www.sec.gov/Archives/edgar/data/1331875/000110465920068392/tm2021453d4_ex4-1.htm" TargetMode="External"/><Relationship Id="rId258" Type="http://schemas.openxmlformats.org/officeDocument/2006/relationships/hyperlink" Target="https://www.sec.gov/Archives/edgar/data/1668428/000119312518131682/d553516dex41.htm" TargetMode="External"/><Relationship Id="rId260" Type="http://schemas.openxmlformats.org/officeDocument/2006/relationships/hyperlink" Target="https://www.sec.gov/Archives/edgar/data/1331875/000110465920072692/tm2021971d7_ex4-1.htm" TargetMode="External"/><Relationship Id="rId261" Type="http://schemas.openxmlformats.org/officeDocument/2006/relationships/hyperlink" Target="https://www.sec.gov/Archives/edgar/data/1331875/000110465920105249/tm2030447d4_ex4-1.htm" TargetMode="External"/><Relationship Id="rId262" Type="http://schemas.openxmlformats.org/officeDocument/2006/relationships/hyperlink" Target="https://www.sec.gov/Archives/edgar/data/0001331875/000110465921116748/tm2127512d4_ex4-1.htm" TargetMode="External"/><Relationship Id="rId263" Type="http://schemas.openxmlformats.org/officeDocument/2006/relationships/hyperlink" Target="https://www.sec.gov/Archives/edgar/data/1331875/000110465924050345/tm2412437d1_ex4-1.htm" TargetMode="External"/><Relationship Id="rId264" Type="http://schemas.openxmlformats.org/officeDocument/2006/relationships/hyperlink" Target="https://www.sec.gov/Archives/edgar/data/1331875/000133187523000005/exhibit41-fnf8xk11323.htm" TargetMode="External"/><Relationship Id="rId265" Type="http://schemas.openxmlformats.org/officeDocument/2006/relationships/hyperlink" Target="https://www.sec.gov/Archives/edgar/data/1331875/000133187523000005/exhibit42-fnf8xk11323.htm" TargetMode="External"/><Relationship Id="rId266" Type="http://schemas.openxmlformats.org/officeDocument/2006/relationships/hyperlink" Target="https://www.sec.gov/Archives/edgar/data/1934850/000162828023040921/exhibit41-8xk.htm" TargetMode="External"/><Relationship Id="rId267" Type="http://schemas.openxmlformats.org/officeDocument/2006/relationships/hyperlink" Target="https://www.sec.gov/Archives/edgar/data/1934850/000162828024026554/exhibit41-8xk.htm" TargetMode="External"/><Relationship Id="rId268" Type="http://schemas.openxmlformats.org/officeDocument/2006/relationships/hyperlink" Target="https://www.sec.gov/Archives/edgar/data/1934850/000162828024042329/exhibit41-fgclosing8xk10424.htm" TargetMode="External"/><Relationship Id="rId269" Type="http://schemas.openxmlformats.org/officeDocument/2006/relationships/hyperlink" Target="https://www.sec.gov/Archives/edgar/data/1934850/000162828024042329/exhibit11-fgclosing8xk10424.htm" TargetMode="External"/><Relationship Id="rId270" Type="http://schemas.openxmlformats.org/officeDocument/2006/relationships/hyperlink" Target="https://www.sec.gov/Archives/edgar/data/1934850/000162828025001385/exhibit41-closing8xk.htm" TargetMode="External"/><Relationship Id="rId271" Type="http://schemas.openxmlformats.org/officeDocument/2006/relationships/hyperlink" Target="https://www.sec.gov/Archives/edgar/data/1934850/000162828025001385/exhibit42-closing8xk.htm" TargetMode="External"/><Relationship Id="rId272" Type="http://schemas.openxmlformats.org/officeDocument/2006/relationships/hyperlink" Target="https://www.sec.gov/ix?doc=/Archives/edgar/data/1331875/000133187525000046/fnf-20250611.htm" TargetMode="External"/><Relationship Id="rId273" Type="http://schemas.openxmlformats.org/officeDocument/2006/relationships/hyperlink" Target="https://www.sec.gov/Archives/edgar/data/1331875/000119312516569331/d157551ddef14a.htm#toc157551_18" TargetMode="External"/><Relationship Id="rId276" Type="http://schemas.openxmlformats.org/officeDocument/2006/relationships/hyperlink" Target="https://www.sec.gov/Archives/edgar/data/1331875/000133187522000062/ex991-fnfamendedandrestate.htm" TargetMode="External"/><Relationship Id="rId277" Type="http://schemas.openxmlformats.org/officeDocument/2006/relationships/hyperlink" Target="https://www.sec.gov/Archives/edgar/data/1331875/000119312516569331/d157551ddef14a.htm#toc157551_19" TargetMode="External"/><Relationship Id="rId278" Type="http://schemas.openxmlformats.org/officeDocument/2006/relationships/hyperlink" Target="https://www.sec.gov/Archives/edgar/data/1331875/000095014409001785/g17782exv10w18.htm" TargetMode="External"/><Relationship Id="rId279" Type="http://schemas.openxmlformats.org/officeDocument/2006/relationships/hyperlink" Target="https://www.sec.gov/Archives/edgar/data/1331875/000095014409001785/g17782exv10w11.htm" TargetMode="External"/><Relationship Id="rId280" Type="http://schemas.openxmlformats.org/officeDocument/2006/relationships/hyperlink" Target="https://www.sec.gov/Archives/edgar/data/1331875/000095012310019326/g21797exv10w13.htm" TargetMode="External"/><Relationship Id="rId281" Type="http://schemas.openxmlformats.org/officeDocument/2006/relationships/hyperlink" Target="https://www.sec.gov/Archives/edgar/data/1331875/000133187516000111/exhibit10272015.htm" TargetMode="External"/><Relationship Id="rId282" Type="http://schemas.openxmlformats.org/officeDocument/2006/relationships/hyperlink" Target="https://www.sec.gov/Archives/edgar/data/0001331875/000133187522000016/ex102quirkemploymentagr02-.htm" TargetMode="External"/><Relationship Id="rId283" Type="http://schemas.openxmlformats.org/officeDocument/2006/relationships/hyperlink" Target="https://www.sec.gov/Archives/edgar/data/1331875/000095012310019326/g21797exv10w22.htm" TargetMode="External"/><Relationship Id="rId284" Type="http://schemas.openxmlformats.org/officeDocument/2006/relationships/hyperlink" Target="https://www.sec.gov/Archives/edgar/data/1331875/000133187513000012/exhibit1022.htm" TargetMode="External"/><Relationship Id="rId285" Type="http://schemas.openxmlformats.org/officeDocument/2006/relationships/hyperlink" Target="https://www.sec.gov/Archives/edgar/data/1331875/000133187515000019/exhibit1021q2015b.htm" TargetMode="External"/><Relationship Id="rId286" Type="http://schemas.openxmlformats.org/officeDocument/2006/relationships/hyperlink" Target="https://www.sec.gov/Archives/edgar/data/1331875/000133187513000012/exhibit1026.htm" TargetMode="External"/><Relationship Id="rId287" Type="http://schemas.openxmlformats.org/officeDocument/2006/relationships/hyperlink" Target="https://www.sec.gov/Archives/edgar/data/1331875/000119312514012055/d657527dex102.htm" TargetMode="External"/><Relationship Id="rId288" Type="http://schemas.openxmlformats.org/officeDocument/2006/relationships/hyperlink" Target="https://www.sec.gov/Archives/edgar/data/1331875/000119312514012055/d657527dex104.htm" TargetMode="External"/><Relationship Id="rId289" Type="http://schemas.openxmlformats.org/officeDocument/2006/relationships/hyperlink" Target="https://www.sec.gov/Archives/edgar/data/1331875/000133187516000144/exhibit101q22016foleyagree.htm" TargetMode="External"/><Relationship Id="rId290" Type="http://schemas.openxmlformats.org/officeDocument/2006/relationships/hyperlink" Target="https://www.sec.gov/Archives/edgar/data/1331875/000133187520000038/ex9915-28foleydirector.htm" TargetMode="External"/><Relationship Id="rId291" Type="http://schemas.openxmlformats.org/officeDocument/2006/relationships/hyperlink" Target="https://www.sec.gov/Archives/edgar/data/1331875/000133187516000144/exhibit104q22016parkagreem.htm" TargetMode="External"/><Relationship Id="rId292" Type="http://schemas.openxmlformats.org/officeDocument/2006/relationships/hyperlink" Target="https://www.sec.gov/Archives/edgar/data/1331875/000133187516000144/exhibit105q22016gravelleag.htm" TargetMode="External"/><Relationship Id="rId293" Type="http://schemas.openxmlformats.org/officeDocument/2006/relationships/hyperlink" Target="https://www.sec.gov/Archives/edgar/data/1331875/000133187516000144/exhibit106q22016sadowskiag.htm" TargetMode="External"/><Relationship Id="rId294" Type="http://schemas.openxmlformats.org/officeDocument/2006/relationships/hyperlink" Target="https://www.sec.gov/Archives/edgar/data/0001331875/000133187522000016/ex101nolanemploymentagr02-.htm" TargetMode="External"/><Relationship Id="rId295" Type="http://schemas.openxmlformats.org/officeDocument/2006/relationships/hyperlink" Target="https://www.sec.gov/Archives/edgar/data/1331875/000133187524000019/ex1023formofgrant-2023.htm" TargetMode="External"/><Relationship Id="rId297" Type="http://schemas.openxmlformats.org/officeDocument/2006/relationships/hyperlink" Target="https://www.sec.gov/Archives/edgar/data/1331875/000133187525000013/exhibit1024directorgrantag.htm" TargetMode="External"/><Relationship Id="rId298" Type="http://schemas.openxmlformats.org/officeDocument/2006/relationships/hyperlink" Target="https://www.sec.gov/Archives/edgar/data/1331875/000133187525000013/exhibit1025employeegrantag.htm" TargetMode="External"/><Relationship Id="rId299" Type="http://schemas.openxmlformats.org/officeDocument/2006/relationships/hyperlink" Target="https://www.sec.gov/Archives/edgar/data/1331875/000133187525000013/exhibit1026directorgrantag.htm" TargetMode="External"/><Relationship Id="rId300" Type="http://schemas.openxmlformats.org/officeDocument/2006/relationships/hyperlink" Target="https://www.sec.gov/Archives/edgar/data/1331875/000133187525000013/exhibit1027foleygrantagree.htm" TargetMode="External"/><Relationship Id="rId301" Type="http://schemas.openxmlformats.org/officeDocument/2006/relationships/hyperlink" Target="https://www.sec.gov/Archives/edgar/data/1331875/000133187519000053/exhibit102q32019gravel.htm" TargetMode="External"/><Relationship Id="rId302" Type="http://schemas.openxmlformats.org/officeDocument/2006/relationships/hyperlink" Target="https://www.sec.gov/Archives/edgar/data/1331875/000110465920068435/tm2021453d1_ex99-1.htm" TargetMode="External"/><Relationship Id="rId303" Type="http://schemas.openxmlformats.org/officeDocument/2006/relationships/hyperlink" Target="https://www.sec.gov/Archives/edgar/data/1934850/000162828022031154/exhibit104-fg8xk.htm" TargetMode="External"/><Relationship Id="rId304" Type="http://schemas.openxmlformats.org/officeDocument/2006/relationships/hyperlink" Target="https://www.sec.gov/Archives/edgar/data/1331875/000133187525000013/ex1031fgrestrictedstockn.htm" TargetMode="External"/><Relationship Id="rId305" Type="http://schemas.openxmlformats.org/officeDocument/2006/relationships/hyperlink" Target="https://www.sec.gov/Archives/edgar/data/1934850/000162828022031154/exhibit105-fg8xk.htm" TargetMode="External"/><Relationship Id="rId306" Type="http://schemas.openxmlformats.org/officeDocument/2006/relationships/hyperlink" Target="https://www.sec.gov/Archives/edgar/data/1934850/000162828022031154/exhibit106-fg8xk.htm" TargetMode="External"/><Relationship Id="rId307" Type="http://schemas.openxmlformats.org/officeDocument/2006/relationships/hyperlink" Target="https://www.sec.gov/Archives/edgar/data/1331875/000110465920121229/tm2034956d1_ex10-1.htm" TargetMode="External"/><Relationship Id="rId308" Type="http://schemas.openxmlformats.org/officeDocument/2006/relationships/hyperlink" Target="https://www.sec.gov/Archives/edgar/data/1331875/000133187523000005/exhibit101-fnf8xk11323.htm" TargetMode="External"/><Relationship Id="rId309" Type="http://schemas.openxmlformats.org/officeDocument/2006/relationships/hyperlink" Target="https://www.sec.gov/Archives/edgar/data/1934850/000162828022025950/fidelity-ex1018xform10x12ba.htm" TargetMode="External"/><Relationship Id="rId311" Type="http://schemas.openxmlformats.org/officeDocument/2006/relationships/hyperlink" Target="https://www.sec.gov/Archives/edgar/data/1934850/000162828022025950/fidelity-ex1019xform10x12ba.htm" TargetMode="External"/><Relationship Id="rId312" Type="http://schemas.openxmlformats.org/officeDocument/2006/relationships/hyperlink" Target="https://www.sec.gov/Archives/edgar/data/1934850/000162828022025950/fidelity-ex1020xform10x12ba.htm" TargetMode="External"/><Relationship Id="rId313" Type="http://schemas.openxmlformats.org/officeDocument/2006/relationships/hyperlink" Target="https://www.sec.gov/Archives/edgar/data/1934850/000162828022025950/fidelity-ex1021xform10x12ba.htm" TargetMode="External"/><Relationship Id="rId314" Type="http://schemas.openxmlformats.org/officeDocument/2006/relationships/hyperlink" Target="https://www.sec.gov/Archives/edgar/data/1331875/000133187522000096/fgl-creditagreement.htm" TargetMode="External"/><Relationship Id="rId315" Type="http://schemas.openxmlformats.org/officeDocument/2006/relationships/hyperlink" Target="https://www.sec.gov/Archives/edgar/data/1331875/000133187522000100/exhibit102-fg8xk.htm" TargetMode="External"/><Relationship Id="rId316" Type="http://schemas.openxmlformats.org/officeDocument/2006/relationships/hyperlink" Target="https://www.sec.gov/Archives/edgar/data/1331875/000133187522000100/exhibit103-fg8xk.htm" TargetMode="External"/><Relationship Id="rId317" Type="http://schemas.openxmlformats.org/officeDocument/2006/relationships/hyperlink" Target="https://www.sec.gov/Archives/edgar/data/1331875/000133187522000100/exhibit101-fg8xk.htm" TargetMode="External"/><Relationship Id="rId318" Type="http://schemas.openxmlformats.org/officeDocument/2006/relationships/hyperlink" Target="https://www.sec.gov/Archives/edgar/data/1331875/000133187523000023/exh1029fgl-firstamendmen.htm" TargetMode="External"/><Relationship Id="rId319" Type="http://schemas.openxmlformats.org/officeDocument/2006/relationships/hyperlink" Target="https://www.sec.gov/Archives/edgar/data/1331875/000133187524000012/fnf-8xkex101xfnfsixtharr.htm" TargetMode="External"/><Relationship Id="rId320" Type="http://schemas.openxmlformats.org/officeDocument/2006/relationships/hyperlink" Target="https://www.sec.gov/Archives/edgar/data/1331875/000133187524000012/fnf-8xkex102xfgarcredita.htm" TargetMode="External"/><Relationship Id="rId321" Type="http://schemas.openxmlformats.org/officeDocument/2006/relationships/hyperlink" Target="https://www.sec.gov/Archives/edgar/data/1331875/000133187524000032/exhibit41-8xk.htm" TargetMode="External"/><Relationship Id="rId323" Type="http://schemas.openxmlformats.org/officeDocument/2006/relationships/hyperlink" Target="https://www.sec.gov/Archives/edgar/data/1331875/000133187524000019/exhibit971q4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2026-02-26T17:47:01Z</dcterms:created>
  <dcterms:modified xsi:type="dcterms:W3CDTF">2026-02-26T17:47:01Z</dcterms:modified>
</cp:coreProperties>
</file>